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64FB7E">
      <w:pPr>
        <w:jc w:val="center"/>
        <w:rPr>
          <w:rFonts w:hint="default" w:ascii="Times New Roman" w:hAnsi="Times New Roman" w:cs="Times New Roman"/>
          <w:b/>
          <w:bCs/>
          <w:sz w:val="18"/>
          <w:szCs w:val="18"/>
        </w:rPr>
      </w:pPr>
      <w:r>
        <w:rPr>
          <w:rFonts w:hint="default" w:ascii="Times New Roman" w:hAnsi="Times New Roman" w:cs="Times New Roman"/>
          <w:b/>
          <w:bCs/>
          <w:sz w:val="18"/>
          <w:szCs w:val="18"/>
          <w:u w:val="single"/>
        </w:rPr>
        <w:t>PRESENTATION DE L’APCAR</w:t>
      </w:r>
    </w:p>
    <w:p w14:paraId="038BA3B4">
      <w:pPr>
        <w:rPr>
          <w:rFonts w:hint="default" w:ascii="Times New Roman" w:hAnsi="Times New Roman" w:cs="Times New Roman"/>
          <w:sz w:val="18"/>
          <w:szCs w:val="18"/>
        </w:rPr>
      </w:pPr>
      <w:r>
        <w:rPr>
          <w:rFonts w:hint="default" w:ascii="Times New Roman" w:hAnsi="Times New Roman" w:cs="Times New Roman"/>
          <w:sz w:val="18"/>
          <w:szCs w:val="18"/>
        </w:rPr>
        <w:t>L’APCAR a été créée le 18 Novembre 1999 par l’initiative de 6 courtiers sur les 15 alors régulièrement agréés par le Ministre des Finances à savoir :</w:t>
      </w:r>
    </w:p>
    <w:p w14:paraId="10981189">
      <w:pPr>
        <w:pStyle w:val="6"/>
        <w:numPr>
          <w:ilvl w:val="0"/>
          <w:numId w:val="1"/>
        </w:numPr>
        <w:rPr>
          <w:rFonts w:hint="default" w:ascii="Times New Roman" w:hAnsi="Times New Roman" w:cs="Times New Roman"/>
          <w:sz w:val="18"/>
          <w:szCs w:val="18"/>
        </w:rPr>
      </w:pPr>
      <w:r>
        <w:rPr>
          <w:rFonts w:hint="default" w:ascii="Times New Roman" w:hAnsi="Times New Roman" w:cs="Times New Roman"/>
          <w:sz w:val="18"/>
          <w:szCs w:val="18"/>
        </w:rPr>
        <w:t>GRAS SAVOYE</w:t>
      </w:r>
    </w:p>
    <w:p w14:paraId="62277F69">
      <w:pPr>
        <w:pStyle w:val="6"/>
        <w:numPr>
          <w:ilvl w:val="0"/>
          <w:numId w:val="1"/>
        </w:numPr>
        <w:rPr>
          <w:rFonts w:hint="default" w:ascii="Times New Roman" w:hAnsi="Times New Roman" w:cs="Times New Roman"/>
          <w:sz w:val="18"/>
          <w:szCs w:val="18"/>
        </w:rPr>
      </w:pPr>
      <w:r>
        <w:rPr>
          <w:rFonts w:hint="default" w:ascii="Times New Roman" w:hAnsi="Times New Roman" w:cs="Times New Roman"/>
          <w:sz w:val="18"/>
          <w:szCs w:val="18"/>
        </w:rPr>
        <w:t>ACC (ASCOMA)</w:t>
      </w:r>
    </w:p>
    <w:p w14:paraId="0EC6608E">
      <w:pPr>
        <w:pStyle w:val="6"/>
        <w:numPr>
          <w:ilvl w:val="0"/>
          <w:numId w:val="1"/>
        </w:numPr>
        <w:rPr>
          <w:rFonts w:hint="default" w:ascii="Times New Roman" w:hAnsi="Times New Roman" w:cs="Times New Roman"/>
          <w:sz w:val="18"/>
          <w:szCs w:val="18"/>
        </w:rPr>
      </w:pPr>
      <w:r>
        <w:rPr>
          <w:rFonts w:hint="default" w:ascii="Times New Roman" w:hAnsi="Times New Roman" w:cs="Times New Roman"/>
          <w:sz w:val="18"/>
          <w:szCs w:val="18"/>
        </w:rPr>
        <w:t>SGCAC (SOGECAR SA)</w:t>
      </w:r>
    </w:p>
    <w:p w14:paraId="4E0F868C">
      <w:pPr>
        <w:pStyle w:val="6"/>
        <w:numPr>
          <w:ilvl w:val="0"/>
          <w:numId w:val="1"/>
        </w:numPr>
        <w:rPr>
          <w:rFonts w:hint="default" w:ascii="Times New Roman" w:hAnsi="Times New Roman" w:cs="Times New Roman"/>
          <w:sz w:val="18"/>
          <w:szCs w:val="18"/>
        </w:rPr>
      </w:pPr>
      <w:r>
        <w:rPr>
          <w:rFonts w:hint="default" w:ascii="Times New Roman" w:hAnsi="Times New Roman" w:cs="Times New Roman"/>
          <w:sz w:val="18"/>
          <w:szCs w:val="18"/>
        </w:rPr>
        <w:t>ASSURIX</w:t>
      </w:r>
    </w:p>
    <w:p w14:paraId="55EB885A">
      <w:pPr>
        <w:pStyle w:val="6"/>
        <w:numPr>
          <w:ilvl w:val="0"/>
          <w:numId w:val="1"/>
        </w:numPr>
        <w:rPr>
          <w:rFonts w:hint="default" w:ascii="Times New Roman" w:hAnsi="Times New Roman" w:cs="Times New Roman"/>
          <w:sz w:val="18"/>
          <w:szCs w:val="18"/>
        </w:rPr>
      </w:pPr>
      <w:r>
        <w:rPr>
          <w:rFonts w:hint="default" w:ascii="Times New Roman" w:hAnsi="Times New Roman" w:cs="Times New Roman"/>
          <w:sz w:val="18"/>
          <w:szCs w:val="18"/>
        </w:rPr>
        <w:t>BIMASSUR</w:t>
      </w:r>
    </w:p>
    <w:p w14:paraId="3019BB06">
      <w:pPr>
        <w:pStyle w:val="6"/>
        <w:numPr>
          <w:ilvl w:val="0"/>
          <w:numId w:val="1"/>
        </w:numPr>
        <w:rPr>
          <w:rFonts w:hint="default" w:ascii="Times New Roman" w:hAnsi="Times New Roman" w:cs="Times New Roman"/>
          <w:sz w:val="18"/>
          <w:szCs w:val="18"/>
        </w:rPr>
      </w:pPr>
      <w:r>
        <w:rPr>
          <w:rFonts w:hint="default" w:ascii="Times New Roman" w:hAnsi="Times New Roman" w:cs="Times New Roman"/>
          <w:sz w:val="18"/>
          <w:szCs w:val="18"/>
        </w:rPr>
        <w:t>SIRCAR</w:t>
      </w:r>
    </w:p>
    <w:p w14:paraId="28129CE9">
      <w:pPr>
        <w:rPr>
          <w:rFonts w:hint="default" w:ascii="Times New Roman" w:hAnsi="Times New Roman" w:cs="Times New Roman"/>
          <w:sz w:val="18"/>
          <w:szCs w:val="18"/>
        </w:rPr>
      </w:pPr>
      <w:r>
        <w:rPr>
          <w:rFonts w:hint="default" w:ascii="Times New Roman" w:hAnsi="Times New Roman" w:cs="Times New Roman"/>
          <w:sz w:val="18"/>
          <w:szCs w:val="18"/>
        </w:rPr>
        <w:t>A ce jour, L’APCAR regroupe l’ensemble des sociétés de courtages d’assurances depuis la signature du protocole d’accord de l’Assemblée Générale Ordinaire du 09 Août 2009 au Hilton à Yaoundé rendant l’adhésion obligatoire.</w:t>
      </w:r>
    </w:p>
    <w:p w14:paraId="1C972572">
      <w:pPr>
        <w:rPr>
          <w:rFonts w:hint="default" w:ascii="Times New Roman" w:hAnsi="Times New Roman" w:cs="Times New Roman"/>
          <w:b/>
          <w:sz w:val="18"/>
          <w:szCs w:val="18"/>
          <w:u w:val="single"/>
        </w:rPr>
      </w:pPr>
      <w:r>
        <w:rPr>
          <w:rFonts w:hint="default" w:ascii="Times New Roman" w:hAnsi="Times New Roman" w:cs="Times New Roman"/>
          <w:b/>
          <w:sz w:val="18"/>
          <w:szCs w:val="18"/>
          <w:u w:val="single"/>
        </w:rPr>
        <w:t>Objectifs de l’APCAR</w:t>
      </w:r>
    </w:p>
    <w:p w14:paraId="0068092E">
      <w:pPr>
        <w:pStyle w:val="6"/>
        <w:numPr>
          <w:ilvl w:val="0"/>
          <w:numId w:val="2"/>
        </w:numPr>
        <w:rPr>
          <w:rFonts w:hint="default" w:ascii="Times New Roman" w:hAnsi="Times New Roman" w:cs="Times New Roman"/>
          <w:sz w:val="18"/>
          <w:szCs w:val="18"/>
        </w:rPr>
      </w:pPr>
      <w:r>
        <w:rPr>
          <w:rFonts w:hint="default" w:ascii="Times New Roman" w:hAnsi="Times New Roman" w:eastAsia="Times New Roman" w:cs="Times New Roman"/>
          <w:sz w:val="18"/>
          <w:szCs w:val="18"/>
          <w:lang w:eastAsia="fr-FR"/>
        </w:rPr>
        <w:t>D’apporter son aide aux pouvoirs publics et à la CIMA pour la défense des intérêts des assurés</w:t>
      </w:r>
    </w:p>
    <w:p w14:paraId="5A4BC8DF">
      <w:pPr>
        <w:pStyle w:val="6"/>
        <w:numPr>
          <w:ilvl w:val="0"/>
          <w:numId w:val="2"/>
        </w:numPr>
        <w:spacing w:after="0" w:line="273" w:lineRule="auto"/>
        <w:jc w:val="both"/>
        <w:rPr>
          <w:rFonts w:hint="default" w:ascii="Times New Roman" w:hAnsi="Times New Roman" w:eastAsia="Times New Roman" w:cs="Times New Roman"/>
          <w:sz w:val="18"/>
          <w:szCs w:val="18"/>
          <w:lang w:eastAsia="fr-FR"/>
        </w:rPr>
      </w:pPr>
      <w:r>
        <w:rPr>
          <w:rFonts w:hint="default" w:ascii="Times New Roman" w:hAnsi="Times New Roman" w:eastAsia="Times New Roman" w:cs="Times New Roman"/>
          <w:sz w:val="18"/>
          <w:szCs w:val="18"/>
          <w:lang w:eastAsia="fr-FR"/>
        </w:rPr>
        <w:t>D’assurer la vulgarisation du métier de courtier d’assurance par une information soutenue auprès du public ;</w:t>
      </w:r>
    </w:p>
    <w:p w14:paraId="2A4D4963">
      <w:pPr>
        <w:pStyle w:val="6"/>
        <w:numPr>
          <w:ilvl w:val="0"/>
          <w:numId w:val="2"/>
        </w:numPr>
        <w:spacing w:after="0" w:line="273" w:lineRule="auto"/>
        <w:jc w:val="both"/>
        <w:rPr>
          <w:rFonts w:hint="default" w:ascii="Times New Roman" w:hAnsi="Times New Roman" w:eastAsia="Times New Roman" w:cs="Times New Roman"/>
          <w:sz w:val="18"/>
          <w:szCs w:val="18"/>
          <w:lang w:eastAsia="fr-FR"/>
        </w:rPr>
      </w:pPr>
      <w:r>
        <w:rPr>
          <w:rFonts w:hint="default" w:ascii="Times New Roman" w:hAnsi="Times New Roman" w:eastAsia="Times New Roman" w:cs="Times New Roman"/>
          <w:sz w:val="18"/>
          <w:szCs w:val="18"/>
          <w:lang w:eastAsia="fr-FR"/>
        </w:rPr>
        <w:t>De veiller au respect des usages professionnels ;</w:t>
      </w:r>
    </w:p>
    <w:p w14:paraId="1F181EDB">
      <w:pPr>
        <w:pStyle w:val="6"/>
        <w:numPr>
          <w:ilvl w:val="0"/>
          <w:numId w:val="2"/>
        </w:numPr>
        <w:spacing w:after="0" w:line="273" w:lineRule="auto"/>
        <w:jc w:val="both"/>
        <w:rPr>
          <w:rFonts w:hint="default" w:ascii="Times New Roman" w:hAnsi="Times New Roman" w:eastAsia="Times New Roman" w:cs="Times New Roman"/>
          <w:sz w:val="18"/>
          <w:szCs w:val="18"/>
          <w:lang w:eastAsia="fr-FR"/>
        </w:rPr>
      </w:pPr>
      <w:r>
        <w:rPr>
          <w:rFonts w:hint="default" w:ascii="Times New Roman" w:hAnsi="Times New Roman" w:eastAsia="Times New Roman" w:cs="Times New Roman"/>
          <w:sz w:val="18"/>
          <w:szCs w:val="18"/>
          <w:lang w:eastAsia="fr-FR"/>
        </w:rPr>
        <w:t>De défendre les droits et intérêts de ses membres ;</w:t>
      </w:r>
    </w:p>
    <w:p w14:paraId="4C324706">
      <w:pPr>
        <w:pStyle w:val="6"/>
        <w:numPr>
          <w:ilvl w:val="0"/>
          <w:numId w:val="2"/>
        </w:numPr>
        <w:spacing w:after="0" w:line="273" w:lineRule="auto"/>
        <w:jc w:val="both"/>
        <w:rPr>
          <w:rFonts w:hint="default" w:ascii="Times New Roman" w:hAnsi="Times New Roman" w:eastAsia="Times New Roman" w:cs="Times New Roman"/>
          <w:sz w:val="18"/>
          <w:szCs w:val="18"/>
          <w:lang w:eastAsia="fr-FR"/>
        </w:rPr>
      </w:pPr>
      <w:r>
        <w:rPr>
          <w:rFonts w:hint="default" w:ascii="Times New Roman" w:hAnsi="Times New Roman" w:eastAsia="Times New Roman" w:cs="Times New Roman"/>
          <w:sz w:val="18"/>
          <w:szCs w:val="18"/>
          <w:lang w:eastAsia="fr-FR"/>
        </w:rPr>
        <w:t>De représenter ses membres auprès des différentes administrations ;</w:t>
      </w:r>
    </w:p>
    <w:p w14:paraId="0F6D2BBB">
      <w:pPr>
        <w:pStyle w:val="6"/>
        <w:numPr>
          <w:ilvl w:val="0"/>
          <w:numId w:val="2"/>
        </w:numPr>
        <w:spacing w:after="0" w:line="273" w:lineRule="auto"/>
        <w:jc w:val="both"/>
        <w:rPr>
          <w:rFonts w:hint="default" w:ascii="Times New Roman" w:hAnsi="Times New Roman" w:eastAsia="Times New Roman" w:cs="Times New Roman"/>
          <w:sz w:val="18"/>
          <w:szCs w:val="18"/>
          <w:lang w:eastAsia="fr-FR"/>
        </w:rPr>
      </w:pPr>
      <w:r>
        <w:rPr>
          <w:rFonts w:hint="default" w:ascii="Times New Roman" w:hAnsi="Times New Roman" w:eastAsia="Times New Roman" w:cs="Times New Roman"/>
          <w:sz w:val="18"/>
          <w:szCs w:val="18"/>
          <w:lang w:eastAsia="fr-FR"/>
        </w:rPr>
        <w:t>De participer à la mise en place d’une fédération des associations nationales africaines de défense des intérêts du courtage ;</w:t>
      </w:r>
    </w:p>
    <w:p w14:paraId="48732196">
      <w:pPr>
        <w:pStyle w:val="6"/>
        <w:numPr>
          <w:ilvl w:val="0"/>
          <w:numId w:val="2"/>
        </w:numPr>
        <w:spacing w:after="0" w:line="273" w:lineRule="auto"/>
        <w:jc w:val="both"/>
        <w:rPr>
          <w:rFonts w:hint="default" w:ascii="Times New Roman" w:hAnsi="Times New Roman" w:eastAsia="Times New Roman" w:cs="Times New Roman"/>
          <w:sz w:val="18"/>
          <w:szCs w:val="18"/>
          <w:lang w:eastAsia="fr-FR"/>
        </w:rPr>
      </w:pPr>
      <w:r>
        <w:rPr>
          <w:rFonts w:hint="default" w:ascii="Times New Roman" w:hAnsi="Times New Roman" w:eastAsia="Times New Roman" w:cs="Times New Roman"/>
          <w:sz w:val="18"/>
          <w:szCs w:val="18"/>
          <w:lang w:eastAsia="fr-FR"/>
        </w:rPr>
        <w:t>L’assainissement de la profession</w:t>
      </w:r>
    </w:p>
    <w:p w14:paraId="204A924A">
      <w:pPr>
        <w:spacing w:after="0" w:line="273" w:lineRule="auto"/>
        <w:jc w:val="both"/>
        <w:rPr>
          <w:rFonts w:hint="default" w:ascii="Times New Roman" w:hAnsi="Times New Roman" w:eastAsia="Times New Roman" w:cs="Times New Roman"/>
          <w:sz w:val="18"/>
          <w:szCs w:val="18"/>
          <w:u w:val="single"/>
          <w:lang w:eastAsia="fr-FR"/>
        </w:rPr>
      </w:pPr>
    </w:p>
    <w:p w14:paraId="6B21DFA3">
      <w:pPr>
        <w:spacing w:after="0" w:line="273" w:lineRule="auto"/>
        <w:jc w:val="both"/>
        <w:rPr>
          <w:rFonts w:hint="default" w:ascii="Times New Roman" w:hAnsi="Times New Roman" w:eastAsia="Times New Roman" w:cs="Times New Roman"/>
          <w:sz w:val="18"/>
          <w:szCs w:val="18"/>
          <w:u w:val="single"/>
          <w:lang w:eastAsia="fr-FR"/>
        </w:rPr>
      </w:pPr>
      <w:r>
        <w:rPr>
          <w:rFonts w:hint="default" w:ascii="Times New Roman" w:hAnsi="Times New Roman" w:eastAsia="Times New Roman" w:cs="Times New Roman"/>
          <w:sz w:val="18"/>
          <w:szCs w:val="18"/>
          <w:u w:val="single"/>
          <w:lang w:eastAsia="fr-FR"/>
        </w:rPr>
        <w:t xml:space="preserve"> PRESIDENTS DE L’APCAR</w:t>
      </w:r>
    </w:p>
    <w:p w14:paraId="3AAECA9D">
      <w:pPr>
        <w:spacing w:after="0" w:line="273" w:lineRule="auto"/>
        <w:jc w:val="both"/>
        <w:rPr>
          <w:rFonts w:hint="default" w:ascii="Times New Roman" w:hAnsi="Times New Roman" w:eastAsia="Times New Roman" w:cs="Times New Roman"/>
          <w:sz w:val="18"/>
          <w:szCs w:val="18"/>
          <w:lang w:eastAsia="fr-FR"/>
        </w:rPr>
      </w:pPr>
      <w:r>
        <w:rPr>
          <w:rFonts w:hint="default" w:ascii="Times New Roman" w:hAnsi="Times New Roman" w:eastAsia="Times New Roman" w:cs="Times New Roman"/>
          <w:sz w:val="18"/>
          <w:szCs w:val="18"/>
          <w:lang w:eastAsia="fr-FR"/>
        </w:rPr>
        <w:t xml:space="preserve"> l’APCAR a connu 6 (Six) présidents dont:</w:t>
      </w:r>
    </w:p>
    <w:p w14:paraId="290AFAD1">
      <w:pPr>
        <w:pStyle w:val="6"/>
        <w:numPr>
          <w:ilvl w:val="0"/>
          <w:numId w:val="3"/>
        </w:numPr>
        <w:spacing w:after="0" w:line="273" w:lineRule="auto"/>
        <w:jc w:val="both"/>
        <w:rPr>
          <w:rFonts w:hint="default" w:ascii="Times New Roman" w:hAnsi="Times New Roman" w:eastAsia="Times New Roman" w:cs="Times New Roman"/>
          <w:sz w:val="18"/>
          <w:szCs w:val="18"/>
          <w:lang w:eastAsia="fr-FR"/>
        </w:rPr>
      </w:pPr>
      <w:r>
        <w:rPr>
          <w:rFonts w:hint="default" w:ascii="Times New Roman" w:hAnsi="Times New Roman" w:eastAsia="Times New Roman" w:cs="Times New Roman"/>
          <w:sz w:val="18"/>
          <w:szCs w:val="18"/>
          <w:lang w:eastAsia="fr-FR"/>
        </w:rPr>
        <w:t>M. JACQUES NOT (GRAS SAVOYE)</w:t>
      </w:r>
    </w:p>
    <w:p w14:paraId="35FFE13E">
      <w:pPr>
        <w:pStyle w:val="6"/>
        <w:numPr>
          <w:ilvl w:val="0"/>
          <w:numId w:val="3"/>
        </w:numPr>
        <w:spacing w:after="0" w:line="273" w:lineRule="auto"/>
        <w:jc w:val="both"/>
        <w:rPr>
          <w:rFonts w:hint="default" w:ascii="Times New Roman" w:hAnsi="Times New Roman" w:eastAsia="Times New Roman" w:cs="Times New Roman"/>
          <w:sz w:val="18"/>
          <w:szCs w:val="18"/>
          <w:lang w:eastAsia="fr-FR"/>
        </w:rPr>
      </w:pPr>
      <w:r>
        <w:rPr>
          <w:rFonts w:hint="default" w:ascii="Times New Roman" w:hAnsi="Times New Roman" w:eastAsia="Times New Roman" w:cs="Times New Roman"/>
          <w:sz w:val="18"/>
          <w:szCs w:val="18"/>
          <w:lang w:eastAsia="fr-FR"/>
        </w:rPr>
        <w:t>M. Emmanuel MINOUE (ACC OU ASCOMA)</w:t>
      </w:r>
    </w:p>
    <w:p w14:paraId="44F407FD">
      <w:pPr>
        <w:pStyle w:val="6"/>
        <w:numPr>
          <w:ilvl w:val="0"/>
          <w:numId w:val="3"/>
        </w:numPr>
        <w:spacing w:after="0" w:line="273" w:lineRule="auto"/>
        <w:jc w:val="both"/>
        <w:rPr>
          <w:rFonts w:hint="default" w:ascii="Times New Roman" w:hAnsi="Times New Roman" w:eastAsia="Times New Roman" w:cs="Times New Roman"/>
          <w:sz w:val="18"/>
          <w:szCs w:val="18"/>
          <w:lang w:eastAsia="fr-FR"/>
        </w:rPr>
      </w:pPr>
      <w:r>
        <w:rPr>
          <w:rFonts w:hint="default" w:ascii="Times New Roman" w:hAnsi="Times New Roman" w:eastAsia="Times New Roman" w:cs="Times New Roman"/>
          <w:sz w:val="18"/>
          <w:szCs w:val="18"/>
          <w:lang w:eastAsia="fr-FR"/>
        </w:rPr>
        <w:t>M. Philippe FALLET (GRAS SAVOYE)</w:t>
      </w:r>
    </w:p>
    <w:p w14:paraId="57D3D47F">
      <w:pPr>
        <w:pStyle w:val="6"/>
        <w:numPr>
          <w:ilvl w:val="0"/>
          <w:numId w:val="3"/>
        </w:numPr>
        <w:spacing w:after="0" w:line="273" w:lineRule="auto"/>
        <w:jc w:val="both"/>
        <w:rPr>
          <w:rFonts w:hint="default" w:ascii="Times New Roman" w:hAnsi="Times New Roman" w:eastAsia="Times New Roman" w:cs="Times New Roman"/>
          <w:sz w:val="18"/>
          <w:szCs w:val="18"/>
          <w:lang w:eastAsia="fr-FR"/>
        </w:rPr>
      </w:pPr>
      <w:r>
        <w:rPr>
          <w:rFonts w:hint="default" w:ascii="Times New Roman" w:hAnsi="Times New Roman" w:eastAsia="Times New Roman" w:cs="Times New Roman"/>
          <w:sz w:val="18"/>
          <w:szCs w:val="18"/>
          <w:lang w:eastAsia="fr-FR"/>
        </w:rPr>
        <w:t>Mme Hermine EBELE EPSE EKOBE NSEKE (SOGECAR)</w:t>
      </w:r>
    </w:p>
    <w:p w14:paraId="0784E477">
      <w:pPr>
        <w:pStyle w:val="6"/>
        <w:numPr>
          <w:ilvl w:val="0"/>
          <w:numId w:val="3"/>
        </w:numPr>
        <w:spacing w:after="0" w:line="273" w:lineRule="auto"/>
        <w:jc w:val="both"/>
        <w:rPr>
          <w:rFonts w:hint="default" w:ascii="Times New Roman" w:hAnsi="Times New Roman" w:eastAsia="Times New Roman" w:cs="Times New Roman"/>
          <w:sz w:val="18"/>
          <w:szCs w:val="18"/>
          <w:lang w:eastAsia="fr-FR"/>
        </w:rPr>
      </w:pPr>
      <w:r>
        <w:rPr>
          <w:rFonts w:hint="default" w:ascii="Times New Roman" w:hAnsi="Times New Roman" w:eastAsia="Times New Roman" w:cs="Times New Roman"/>
          <w:sz w:val="18"/>
          <w:szCs w:val="18"/>
          <w:lang w:eastAsia="fr-FR"/>
        </w:rPr>
        <w:t>Mme Léopoldine NGOULLA TSANGUE EPSE FONDOP (PARTNERS)</w:t>
      </w:r>
    </w:p>
    <w:p w14:paraId="48681CF2">
      <w:pPr>
        <w:pStyle w:val="6"/>
        <w:numPr>
          <w:ilvl w:val="0"/>
          <w:numId w:val="3"/>
        </w:numPr>
        <w:spacing w:after="0" w:line="273" w:lineRule="auto"/>
        <w:jc w:val="both"/>
        <w:rPr>
          <w:rFonts w:hint="default" w:ascii="Times New Roman" w:hAnsi="Times New Roman" w:eastAsia="Times New Roman" w:cs="Times New Roman"/>
          <w:sz w:val="18"/>
          <w:szCs w:val="18"/>
          <w:lang w:eastAsia="fr-FR"/>
        </w:rPr>
      </w:pPr>
      <w:r>
        <w:rPr>
          <w:rFonts w:hint="default" w:ascii="Times New Roman" w:hAnsi="Times New Roman" w:eastAsia="Times New Roman" w:cs="Times New Roman"/>
          <w:sz w:val="18"/>
          <w:szCs w:val="18"/>
          <w:lang w:eastAsia="fr-FR"/>
        </w:rPr>
        <w:t>Mme Naomie TSITSOL (AMS INSURANCE SARL)</w:t>
      </w:r>
    </w:p>
    <w:p w14:paraId="7AAB2A1C">
      <w:pPr>
        <w:rPr>
          <w:rFonts w:hint="default" w:ascii="Times New Roman" w:hAnsi="Times New Roman" w:cs="Times New Roman"/>
          <w:sz w:val="18"/>
          <w:szCs w:val="18"/>
          <w:u w:val="single"/>
        </w:rPr>
      </w:pPr>
      <w:r>
        <w:rPr>
          <w:rFonts w:hint="default" w:ascii="Times New Roman" w:hAnsi="Times New Roman" w:cs="Times New Roman"/>
          <w:sz w:val="18"/>
          <w:szCs w:val="18"/>
          <w:u w:val="single"/>
        </w:rPr>
        <w:t>ORGANISATION DE L’APCAR</w:t>
      </w:r>
    </w:p>
    <w:p w14:paraId="17C3CF75">
      <w:pPr>
        <w:pStyle w:val="6"/>
        <w:numPr>
          <w:ilvl w:val="0"/>
          <w:numId w:val="4"/>
        </w:numPr>
        <w:rPr>
          <w:rFonts w:hint="default" w:ascii="Times New Roman" w:hAnsi="Times New Roman" w:cs="Times New Roman"/>
          <w:sz w:val="18"/>
          <w:szCs w:val="18"/>
        </w:rPr>
      </w:pPr>
      <w:r>
        <w:rPr>
          <w:rFonts w:hint="default" w:ascii="Times New Roman" w:hAnsi="Times New Roman" w:cs="Times New Roman"/>
          <w:sz w:val="18"/>
          <w:szCs w:val="18"/>
        </w:rPr>
        <w:t>Bureau Exécutif</w:t>
      </w:r>
    </w:p>
    <w:p w14:paraId="6BDEA9ED">
      <w:pPr>
        <w:pStyle w:val="6"/>
        <w:numPr>
          <w:ilvl w:val="0"/>
          <w:numId w:val="4"/>
        </w:numPr>
        <w:rPr>
          <w:rFonts w:hint="default" w:ascii="Times New Roman" w:hAnsi="Times New Roman" w:cs="Times New Roman"/>
          <w:sz w:val="18"/>
          <w:szCs w:val="18"/>
        </w:rPr>
      </w:pPr>
      <w:r>
        <w:rPr>
          <w:rFonts w:hint="default" w:ascii="Times New Roman" w:hAnsi="Times New Roman" w:cs="Times New Roman"/>
          <w:sz w:val="18"/>
          <w:szCs w:val="18"/>
        </w:rPr>
        <w:t>Assemblée Général</w:t>
      </w:r>
    </w:p>
    <w:p w14:paraId="0BB35915">
      <w:pPr>
        <w:pStyle w:val="6"/>
        <w:numPr>
          <w:ilvl w:val="0"/>
          <w:numId w:val="4"/>
        </w:numPr>
        <w:rPr>
          <w:rFonts w:hint="default" w:ascii="Times New Roman" w:hAnsi="Times New Roman" w:cs="Times New Roman"/>
          <w:sz w:val="18"/>
          <w:szCs w:val="18"/>
        </w:rPr>
      </w:pPr>
      <w:r>
        <w:rPr>
          <w:rFonts w:hint="default" w:ascii="Times New Roman" w:hAnsi="Times New Roman" w:cs="Times New Roman"/>
          <w:sz w:val="18"/>
          <w:szCs w:val="18"/>
        </w:rPr>
        <w:t>Secrétariat Permanent</w:t>
      </w:r>
    </w:p>
    <w:p w14:paraId="704AD4BF">
      <w:pPr>
        <w:rPr>
          <w:rFonts w:hint="default" w:ascii="Times New Roman" w:hAnsi="Times New Roman" w:cs="Times New Roman"/>
          <w:sz w:val="18"/>
          <w:szCs w:val="18"/>
          <w:u w:val="single"/>
        </w:rPr>
      </w:pPr>
      <w:r>
        <w:rPr>
          <w:rFonts w:hint="default" w:ascii="Times New Roman" w:hAnsi="Times New Roman" w:cs="Times New Roman"/>
          <w:sz w:val="18"/>
          <w:szCs w:val="18"/>
          <w:u w:val="single"/>
        </w:rPr>
        <w:t>EFFECTIF DES MEMBRES DE L’APCAR</w:t>
      </w:r>
    </w:p>
    <w:p w14:paraId="34B4A591">
      <w:pPr>
        <w:rPr>
          <w:rFonts w:hint="default" w:ascii="Times New Roman" w:hAnsi="Times New Roman" w:cs="Times New Roman"/>
          <w:sz w:val="18"/>
          <w:szCs w:val="18"/>
        </w:rPr>
      </w:pPr>
      <w:r>
        <w:rPr>
          <w:rFonts w:hint="default" w:ascii="Times New Roman" w:hAnsi="Times New Roman" w:cs="Times New Roman"/>
          <w:sz w:val="18"/>
          <w:szCs w:val="18"/>
        </w:rPr>
        <w:t>Au regard de la liste du ministère des finances publiée en 2025, nous avons 154 courtiers agréés, l’APCAR a 1</w:t>
      </w:r>
      <w:r>
        <w:rPr>
          <w:rFonts w:hint="default" w:ascii="Times New Roman" w:hAnsi="Times New Roman" w:cs="Times New Roman"/>
          <w:sz w:val="18"/>
          <w:szCs w:val="18"/>
          <w:lang w:val="fr-FR"/>
        </w:rPr>
        <w:t>26</w:t>
      </w:r>
      <w:r>
        <w:rPr>
          <w:rFonts w:hint="default" w:ascii="Times New Roman" w:hAnsi="Times New Roman" w:cs="Times New Roman"/>
          <w:sz w:val="18"/>
          <w:szCs w:val="18"/>
        </w:rPr>
        <w:t xml:space="preserve"> membres inscrits.</w:t>
      </w:r>
    </w:p>
    <w:p w14:paraId="5B47A55B">
      <w:pPr>
        <w:jc w:val="center"/>
        <w:rPr>
          <w:rFonts w:hint="default" w:ascii="Times New Roman" w:hAnsi="Times New Roman" w:cs="Times New Roman"/>
          <w:sz w:val="18"/>
          <w:szCs w:val="18"/>
          <w:u w:val="single"/>
        </w:rPr>
      </w:pPr>
      <w:r>
        <w:rPr>
          <w:rFonts w:hint="default" w:ascii="Times New Roman" w:hAnsi="Times New Roman" w:cs="Times New Roman"/>
          <w:b/>
          <w:bCs/>
          <w:sz w:val="18"/>
          <w:szCs w:val="18"/>
          <w:u w:val="single"/>
        </w:rPr>
        <w:t>INFORMATIONS A TROUVER DANS LE SIT WEB</w:t>
      </w:r>
    </w:p>
    <w:p w14:paraId="0EF48EB5">
      <w:pPr>
        <w:rPr>
          <w:rFonts w:hint="default" w:ascii="Times New Roman" w:hAnsi="Times New Roman" w:cs="Times New Roman"/>
          <w:sz w:val="18"/>
          <w:szCs w:val="18"/>
          <w:u w:val="single"/>
        </w:rPr>
      </w:pPr>
    </w:p>
    <w:p w14:paraId="2A20CA79">
      <w:pPr>
        <w:rPr>
          <w:rFonts w:hint="default" w:ascii="Times New Roman" w:hAnsi="Times New Roman" w:cs="Times New Roman"/>
          <w:b/>
          <w:bCs/>
          <w:sz w:val="18"/>
          <w:szCs w:val="18"/>
          <w:u w:val="single"/>
        </w:rPr>
      </w:pPr>
      <w:r>
        <w:rPr>
          <w:rFonts w:hint="default" w:ascii="Times New Roman" w:hAnsi="Times New Roman" w:cs="Times New Roman"/>
          <w:b/>
          <w:bCs/>
          <w:sz w:val="18"/>
          <w:szCs w:val="18"/>
          <w:u w:val="single"/>
        </w:rPr>
        <w:t>La définition du courtier en Assurance</w:t>
      </w:r>
    </w:p>
    <w:p w14:paraId="31E54401">
      <w:pPr>
        <w:rPr>
          <w:rFonts w:hint="default" w:ascii="Times New Roman" w:hAnsi="Times New Roman" w:cs="Times New Roman"/>
          <w:sz w:val="18"/>
          <w:szCs w:val="18"/>
        </w:rPr>
      </w:pPr>
      <w:r>
        <w:rPr>
          <w:rFonts w:hint="default" w:ascii="Times New Roman" w:hAnsi="Times New Roman" w:cs="Times New Roman"/>
          <w:sz w:val="18"/>
          <w:szCs w:val="18"/>
        </w:rPr>
        <w:t>Un Courtier en Assurance est un intermédiaire indépendant entre un assuré et les compagnies d’assurance. Leur mission est de conseiller, comparer et négocier les meilleures offres pour répondre aux besoins spécifiques de leurs clients.</w:t>
      </w:r>
    </w:p>
    <w:p w14:paraId="13F2FDA6">
      <w:pPr>
        <w:jc w:val="center"/>
        <w:rPr>
          <w:rFonts w:hint="default" w:ascii="Times New Roman" w:hAnsi="Times New Roman" w:cs="Times New Roman"/>
          <w:sz w:val="18"/>
          <w:szCs w:val="18"/>
        </w:rPr>
      </w:pPr>
      <w:r>
        <w:rPr>
          <w:rFonts w:hint="default" w:ascii="Times New Roman" w:hAnsi="Times New Roman" w:cs="Times New Roman"/>
          <w:b/>
          <w:bCs/>
          <w:sz w:val="18"/>
          <w:szCs w:val="18"/>
          <w:u w:val="single"/>
        </w:rPr>
        <w:t>LE ROLE D’UN COURTIER EN ASSURANCES, SES DEVOIRS ET OBLIGATIONS, SON PERIMETRE D’ACTION</w:t>
      </w:r>
    </w:p>
    <w:p w14:paraId="3FFDD100">
      <w:pPr>
        <w:jc w:val="center"/>
        <w:rPr>
          <w:rFonts w:hint="default" w:ascii="Times New Roman" w:hAnsi="Times New Roman" w:cs="Times New Roman"/>
          <w:sz w:val="18"/>
          <w:szCs w:val="18"/>
        </w:rPr>
      </w:pPr>
      <w:r>
        <w:rPr>
          <w:rFonts w:hint="default" w:ascii="Times New Roman" w:hAnsi="Times New Roman" w:cs="Times New Roman"/>
          <w:b/>
          <w:bCs/>
          <w:sz w:val="18"/>
          <w:szCs w:val="18"/>
          <w:u w:val="single"/>
        </w:rPr>
        <w:t>LE ROLE DU COURTIER</w:t>
      </w:r>
    </w:p>
    <w:p w14:paraId="4DA5C2B1">
      <w:pPr>
        <w:numPr>
          <w:ilvl w:val="0"/>
          <w:numId w:val="5"/>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Le Courtier agit avant tout dans votre intérêt : son rôle principal est de vous conseiller de manière objective et de vous accompagner dans la recherche de la solution d’assurance la plus adapte à votre situation.</w:t>
      </w:r>
    </w:p>
    <w:p w14:paraId="079169D5">
      <w:pPr>
        <w:numPr>
          <w:ilvl w:val="0"/>
          <w:numId w:val="5"/>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Le Courtier est à l’écoute de vos besoins : il analyse votre profil, identifie vos priorités et sélectionne, en toute indépendance, le contrat qui vous offrira la meilleure protection possible.</w:t>
      </w:r>
    </w:p>
    <w:p w14:paraId="1F943CAB">
      <w:pPr>
        <w:jc w:val="center"/>
        <w:rPr>
          <w:rFonts w:hint="default" w:ascii="Times New Roman" w:hAnsi="Times New Roman" w:cs="Times New Roman"/>
          <w:sz w:val="18"/>
          <w:szCs w:val="18"/>
        </w:rPr>
      </w:pPr>
      <w:r>
        <w:rPr>
          <w:rFonts w:hint="default" w:ascii="Times New Roman" w:hAnsi="Times New Roman" w:cs="Times New Roman"/>
          <w:b/>
          <w:bCs/>
          <w:sz w:val="18"/>
          <w:szCs w:val="18"/>
          <w:u w:val="single"/>
        </w:rPr>
        <w:t>LES DEVOIRS ET OBLIGATIONS DU COURTIER</w:t>
      </w:r>
    </w:p>
    <w:p w14:paraId="218C9FE0">
      <w:pPr>
        <w:rPr>
          <w:rFonts w:hint="default" w:ascii="Times New Roman" w:hAnsi="Times New Roman" w:cs="Times New Roman"/>
          <w:sz w:val="18"/>
          <w:szCs w:val="18"/>
        </w:rPr>
      </w:pPr>
      <w:r>
        <w:rPr>
          <w:rFonts w:hint="default" w:ascii="Times New Roman" w:hAnsi="Times New Roman" w:cs="Times New Roman"/>
          <w:sz w:val="18"/>
          <w:szCs w:val="18"/>
        </w:rPr>
        <w:t>Un Courtier en assurance a des devoirs légaux et éthiques ; il doit conseiller son client de manière loyale, être transparent sur ses rémunérations, respecter la confidentialité des données et se conformer aux réglementations professionnelles</w:t>
      </w:r>
    </w:p>
    <w:p w14:paraId="1312C83A">
      <w:pPr>
        <w:numPr>
          <w:ilvl w:val="0"/>
          <w:numId w:val="6"/>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 xml:space="preserve">1 </w:t>
      </w:r>
      <w:bookmarkStart w:id="0" w:name="_GoBack"/>
      <w:bookmarkEnd w:id="0"/>
      <w:r>
        <w:rPr>
          <w:rFonts w:hint="default" w:ascii="Times New Roman" w:hAnsi="Times New Roman" w:cs="Times New Roman"/>
          <w:sz w:val="18"/>
          <w:szCs w:val="18"/>
        </w:rPr>
        <w:t>Obligations légales et règlementaires</w:t>
      </w:r>
    </w:p>
    <w:p w14:paraId="771906C2">
      <w:pPr>
        <w:numPr>
          <w:ilvl w:val="0"/>
          <w:numId w:val="7"/>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Inscription à l’APCAR</w:t>
      </w:r>
    </w:p>
    <w:p w14:paraId="53FA5710">
      <w:pPr>
        <w:numPr>
          <w:ilvl w:val="0"/>
          <w:numId w:val="7"/>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Capacité professionnelle : disposer des diplômes ou formation exigée pour exercer</w:t>
      </w:r>
    </w:p>
    <w:p w14:paraId="47CF5961">
      <w:pPr>
        <w:numPr>
          <w:ilvl w:val="0"/>
          <w:numId w:val="7"/>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Formation continue : obligation de mise à jour régulière des connaissances</w:t>
      </w:r>
    </w:p>
    <w:p w14:paraId="20382655">
      <w:pPr>
        <w:numPr>
          <w:ilvl w:val="0"/>
          <w:numId w:val="7"/>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Responsabilité Civile Professionnelle : souscrire une assurance pour couvrir ses erreurs et négligences</w:t>
      </w:r>
    </w:p>
    <w:p w14:paraId="54CF1BF5">
      <w:pPr>
        <w:numPr>
          <w:ilvl w:val="0"/>
          <w:numId w:val="8"/>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2 Devoir de conseil</w:t>
      </w:r>
    </w:p>
    <w:p w14:paraId="075C1183">
      <w:pPr>
        <w:numPr>
          <w:ilvl w:val="0"/>
          <w:numId w:val="9"/>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Analyse des besoins : écouter, reformuler et comprendre la situation du client.</w:t>
      </w:r>
    </w:p>
    <w:p w14:paraId="4162F85E">
      <w:pPr>
        <w:numPr>
          <w:ilvl w:val="0"/>
          <w:numId w:val="9"/>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Information claire : présenter les garanties, exclusions et limites des contrats</w:t>
      </w:r>
    </w:p>
    <w:p w14:paraId="574D9362">
      <w:pPr>
        <w:numPr>
          <w:ilvl w:val="0"/>
          <w:numId w:val="9"/>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Adaptation : proposer des solutions personnalisées et adaptées au profil du client</w:t>
      </w:r>
    </w:p>
    <w:p w14:paraId="604A3C45">
      <w:pPr>
        <w:numPr>
          <w:ilvl w:val="0"/>
          <w:numId w:val="10"/>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3 Transparence et éthique</w:t>
      </w:r>
    </w:p>
    <w:p w14:paraId="60BB877D">
      <w:pPr>
        <w:numPr>
          <w:ilvl w:val="0"/>
          <w:numId w:val="11"/>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Loyauté envers les clients : agir dans son intérêt, et non celui d’un assureur particulier</w:t>
      </w:r>
    </w:p>
    <w:p w14:paraId="146184C5">
      <w:pPr>
        <w:numPr>
          <w:ilvl w:val="0"/>
          <w:numId w:val="11"/>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Gestion des conflits d’intérêts : signaler toute situation pouvant influencer son impartialité</w:t>
      </w:r>
    </w:p>
    <w:p w14:paraId="156D4F7D">
      <w:pPr>
        <w:numPr>
          <w:ilvl w:val="0"/>
          <w:numId w:val="12"/>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4 Confidentialité et protection des données</w:t>
      </w:r>
    </w:p>
    <w:p w14:paraId="394120CC">
      <w:pPr>
        <w:numPr>
          <w:ilvl w:val="0"/>
          <w:numId w:val="13"/>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Secret professionnel : ne pas divulguer d’informations sensibles sans consentement</w:t>
      </w:r>
    </w:p>
    <w:p w14:paraId="0FFCF36F">
      <w:pPr>
        <w:numPr>
          <w:ilvl w:val="0"/>
          <w:numId w:val="14"/>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5 Relations avec l’assureur</w:t>
      </w:r>
    </w:p>
    <w:p w14:paraId="5304B8F7">
      <w:pPr>
        <w:numPr>
          <w:ilvl w:val="0"/>
          <w:numId w:val="15"/>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Information exacte : transmettre des données fiables aux compagnies d’Assurance</w:t>
      </w:r>
    </w:p>
    <w:p w14:paraId="48EC4BA1">
      <w:pPr>
        <w:numPr>
          <w:ilvl w:val="0"/>
          <w:numId w:val="15"/>
        </w:numPr>
        <w:ind w:left="420" w:leftChars="0" w:hanging="420" w:firstLineChars="0"/>
        <w:rPr>
          <w:rFonts w:hint="default" w:ascii="Times New Roman" w:hAnsi="Times New Roman" w:cs="Times New Roman"/>
          <w:sz w:val="18"/>
          <w:szCs w:val="18"/>
        </w:rPr>
      </w:pPr>
      <w:r>
        <w:rPr>
          <w:rFonts w:hint="default" w:ascii="Times New Roman" w:hAnsi="Times New Roman" w:cs="Times New Roman"/>
          <w:sz w:val="18"/>
          <w:szCs w:val="18"/>
        </w:rPr>
        <w:t>Respect des conventions : se conformer aux accords contractuels et aux règles du marché</w:t>
      </w:r>
    </w:p>
    <w:p w14:paraId="7E4611CF">
      <w:pPr>
        <w:rPr>
          <w:rFonts w:hint="default" w:ascii="Times New Roman" w:hAnsi="Times New Roman" w:cs="Times New Roman"/>
          <w:b/>
          <w:bCs/>
          <w:sz w:val="18"/>
          <w:szCs w:val="18"/>
          <w:u w:val="single"/>
        </w:rPr>
      </w:pPr>
      <w:r>
        <w:rPr>
          <w:rFonts w:hint="default" w:ascii="Times New Roman" w:hAnsi="Times New Roman" w:cs="Times New Roman"/>
          <w:b/>
          <w:bCs/>
          <w:sz w:val="18"/>
          <w:szCs w:val="18"/>
          <w:u w:val="single"/>
        </w:rPr>
        <w:t>LE PERIMETRE D’ACTION DU COURTIER</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4057"/>
        <w:gridCol w:w="3019"/>
      </w:tblGrid>
      <w:tr w14:paraId="51638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980" w:type="dxa"/>
          </w:tcPr>
          <w:p w14:paraId="64C38A84">
            <w:pPr>
              <w:spacing w:after="0" w:line="240" w:lineRule="auto"/>
              <w:jc w:val="center"/>
              <w:rPr>
                <w:rFonts w:hint="default" w:ascii="Times New Roman" w:hAnsi="Times New Roman" w:cs="Times New Roman"/>
                <w:b/>
                <w:sz w:val="18"/>
                <w:szCs w:val="18"/>
              </w:rPr>
            </w:pPr>
            <w:r>
              <w:rPr>
                <w:rFonts w:hint="default" w:ascii="Times New Roman" w:hAnsi="Times New Roman" w:cs="Times New Roman"/>
                <w:b/>
                <w:sz w:val="18"/>
                <w:szCs w:val="18"/>
              </w:rPr>
              <w:t>Domaine</w:t>
            </w:r>
          </w:p>
        </w:tc>
        <w:tc>
          <w:tcPr>
            <w:tcW w:w="4057" w:type="dxa"/>
          </w:tcPr>
          <w:p w14:paraId="2B76F8D2">
            <w:pPr>
              <w:spacing w:after="0" w:line="240" w:lineRule="auto"/>
              <w:jc w:val="center"/>
              <w:rPr>
                <w:rFonts w:hint="default" w:ascii="Times New Roman" w:hAnsi="Times New Roman" w:cs="Times New Roman"/>
                <w:b/>
                <w:sz w:val="18"/>
                <w:szCs w:val="18"/>
              </w:rPr>
            </w:pPr>
            <w:r>
              <w:rPr>
                <w:rFonts w:hint="default" w:ascii="Times New Roman" w:hAnsi="Times New Roman" w:cs="Times New Roman"/>
                <w:b/>
                <w:sz w:val="18"/>
                <w:szCs w:val="18"/>
              </w:rPr>
              <w:t>Action du Courtier</w:t>
            </w:r>
          </w:p>
        </w:tc>
        <w:tc>
          <w:tcPr>
            <w:tcW w:w="3019" w:type="dxa"/>
          </w:tcPr>
          <w:p w14:paraId="1856E37C">
            <w:pPr>
              <w:spacing w:after="0" w:line="240" w:lineRule="auto"/>
              <w:jc w:val="center"/>
              <w:rPr>
                <w:rFonts w:hint="default" w:ascii="Times New Roman" w:hAnsi="Times New Roman" w:cs="Times New Roman"/>
                <w:b/>
                <w:sz w:val="18"/>
                <w:szCs w:val="18"/>
              </w:rPr>
            </w:pPr>
            <w:r>
              <w:rPr>
                <w:rFonts w:hint="default" w:ascii="Times New Roman" w:hAnsi="Times New Roman" w:cs="Times New Roman"/>
                <w:b/>
                <w:sz w:val="18"/>
                <w:szCs w:val="18"/>
              </w:rPr>
              <w:t>Valeur ajoutée</w:t>
            </w:r>
          </w:p>
        </w:tc>
      </w:tr>
      <w:tr w14:paraId="0253C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980" w:type="dxa"/>
          </w:tcPr>
          <w:p w14:paraId="2A8D7C28">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Intermédiation</w:t>
            </w:r>
          </w:p>
        </w:tc>
        <w:tc>
          <w:tcPr>
            <w:tcW w:w="4057" w:type="dxa"/>
          </w:tcPr>
          <w:p w14:paraId="50710AD9">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Mise en relation client/Assureur</w:t>
            </w:r>
          </w:p>
        </w:tc>
        <w:tc>
          <w:tcPr>
            <w:tcW w:w="3019" w:type="dxa"/>
          </w:tcPr>
          <w:p w14:paraId="1436A9B8">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Accès à plusieurs offres</w:t>
            </w:r>
          </w:p>
        </w:tc>
      </w:tr>
      <w:tr w14:paraId="7D2AB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980" w:type="dxa"/>
          </w:tcPr>
          <w:p w14:paraId="4C1AF3CF">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Conseil</w:t>
            </w:r>
          </w:p>
        </w:tc>
        <w:tc>
          <w:tcPr>
            <w:tcW w:w="4057" w:type="dxa"/>
          </w:tcPr>
          <w:p w14:paraId="1E8CBAFA">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Analyse des besoins, recommandations</w:t>
            </w:r>
          </w:p>
        </w:tc>
        <w:tc>
          <w:tcPr>
            <w:tcW w:w="3019" w:type="dxa"/>
          </w:tcPr>
          <w:p w14:paraId="1AB58F79">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Solutions personnelles</w:t>
            </w:r>
          </w:p>
        </w:tc>
      </w:tr>
      <w:tr w14:paraId="65D09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980" w:type="dxa"/>
          </w:tcPr>
          <w:p w14:paraId="52300CAF">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Négociation</w:t>
            </w:r>
          </w:p>
        </w:tc>
        <w:tc>
          <w:tcPr>
            <w:tcW w:w="4057" w:type="dxa"/>
          </w:tcPr>
          <w:p w14:paraId="11B37333">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Discussion des tarifs et garanties</w:t>
            </w:r>
          </w:p>
        </w:tc>
        <w:tc>
          <w:tcPr>
            <w:tcW w:w="3019" w:type="dxa"/>
          </w:tcPr>
          <w:p w14:paraId="6464203E">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Conditions avantageuses</w:t>
            </w:r>
          </w:p>
        </w:tc>
      </w:tr>
      <w:tr w14:paraId="494C0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980" w:type="dxa"/>
          </w:tcPr>
          <w:p w14:paraId="48BE39F3">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Gestion</w:t>
            </w:r>
          </w:p>
        </w:tc>
        <w:tc>
          <w:tcPr>
            <w:tcW w:w="4057" w:type="dxa"/>
          </w:tcPr>
          <w:p w14:paraId="34C1DA58">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Développement du portefeuille, suivi</w:t>
            </w:r>
          </w:p>
        </w:tc>
        <w:tc>
          <w:tcPr>
            <w:tcW w:w="3019" w:type="dxa"/>
          </w:tcPr>
          <w:p w14:paraId="519535E7">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Fidélisation et rentabilité</w:t>
            </w:r>
          </w:p>
        </w:tc>
      </w:tr>
      <w:tr w14:paraId="5B49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980" w:type="dxa"/>
          </w:tcPr>
          <w:p w14:paraId="33985E1D">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Sinistres</w:t>
            </w:r>
          </w:p>
        </w:tc>
        <w:tc>
          <w:tcPr>
            <w:tcW w:w="4057" w:type="dxa"/>
          </w:tcPr>
          <w:p w14:paraId="6009F29B">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Assistance et défense du client</w:t>
            </w:r>
          </w:p>
        </w:tc>
        <w:tc>
          <w:tcPr>
            <w:tcW w:w="3019" w:type="dxa"/>
          </w:tcPr>
          <w:p w14:paraId="4A982F10">
            <w:pPr>
              <w:spacing w:after="0" w:line="240" w:lineRule="auto"/>
              <w:jc w:val="center"/>
              <w:rPr>
                <w:rFonts w:hint="default" w:ascii="Times New Roman" w:hAnsi="Times New Roman" w:cs="Times New Roman"/>
                <w:sz w:val="18"/>
                <w:szCs w:val="18"/>
              </w:rPr>
            </w:pPr>
            <w:r>
              <w:rPr>
                <w:rFonts w:hint="default" w:ascii="Times New Roman" w:hAnsi="Times New Roman" w:cs="Times New Roman"/>
                <w:sz w:val="18"/>
                <w:szCs w:val="18"/>
              </w:rPr>
              <w:t>Protection des intérêts</w:t>
            </w:r>
          </w:p>
          <w:p w14:paraId="7DBBF86A">
            <w:pPr>
              <w:spacing w:after="0" w:line="240" w:lineRule="auto"/>
              <w:jc w:val="center"/>
              <w:rPr>
                <w:rFonts w:hint="default" w:ascii="Times New Roman" w:hAnsi="Times New Roman" w:cs="Times New Roman"/>
                <w:sz w:val="18"/>
                <w:szCs w:val="18"/>
              </w:rPr>
            </w:pPr>
          </w:p>
        </w:tc>
      </w:tr>
    </w:tbl>
    <w:p w14:paraId="3DAAF896">
      <w:pPr>
        <w:rPr>
          <w:rFonts w:hint="default" w:ascii="Times New Roman" w:hAnsi="Times New Roman" w:cs="Times New Roman"/>
          <w:sz w:val="18"/>
          <w:szCs w:val="18"/>
        </w:rPr>
      </w:pPr>
    </w:p>
    <w:p w14:paraId="633E64F5">
      <w:pPr>
        <w:jc w:val="center"/>
        <w:rPr>
          <w:rFonts w:hint="default" w:ascii="Times New Roman" w:hAnsi="Times New Roman" w:cs="Times New Roman"/>
          <w:b/>
          <w:bCs/>
          <w:sz w:val="18"/>
          <w:szCs w:val="18"/>
          <w:u w:val="single"/>
        </w:rPr>
      </w:pPr>
      <w:r>
        <w:rPr>
          <w:rFonts w:hint="default" w:ascii="Times New Roman" w:hAnsi="Times New Roman" w:cs="Times New Roman"/>
          <w:b/>
          <w:bCs/>
          <w:sz w:val="18"/>
          <w:szCs w:val="18"/>
          <w:u w:val="single"/>
        </w:rPr>
        <w:t>PROCEDURE D’AGREMENT DES COURTIERS D’ASSURANCES</w:t>
      </w:r>
    </w:p>
    <w:p w14:paraId="63134368">
      <w:pPr>
        <w:jc w:val="center"/>
        <w:rPr>
          <w:rFonts w:hint="default" w:ascii="Times New Roman" w:hAnsi="Times New Roman" w:cs="Times New Roman"/>
          <w:b/>
          <w:bCs/>
          <w:sz w:val="18"/>
          <w:szCs w:val="18"/>
          <w:u w:val="single"/>
        </w:rPr>
      </w:pPr>
      <w:r>
        <w:rPr>
          <w:rFonts w:hint="default" w:ascii="Times New Roman" w:hAnsi="Times New Roman" w:cs="Times New Roman"/>
          <w:b/>
          <w:bCs/>
          <w:sz w:val="18"/>
          <w:szCs w:val="18"/>
          <w:u w:val="single"/>
        </w:rPr>
        <w:t>COMPOSITION DU DOSSIER (Article 524, 525,533 du code CIMA)</w:t>
      </w:r>
    </w:p>
    <w:p w14:paraId="62E18378">
      <w:pPr>
        <w:jc w:val="center"/>
        <w:rPr>
          <w:rFonts w:hint="default" w:ascii="Times New Roman" w:hAnsi="Times New Roman" w:cs="Times New Roman"/>
          <w:sz w:val="18"/>
          <w:szCs w:val="18"/>
        </w:rPr>
      </w:pPr>
      <w:r>
        <w:rPr>
          <w:rFonts w:hint="default" w:ascii="Times New Roman" w:hAnsi="Times New Roman" w:cs="Times New Roman"/>
          <w:b/>
          <w:bCs/>
          <w:sz w:val="18"/>
          <w:szCs w:val="18"/>
          <w:u w:val="single"/>
        </w:rPr>
        <w:t xml:space="preserve">A </w:t>
      </w:r>
      <w:r>
        <w:rPr>
          <w:rFonts w:hint="default" w:ascii="Times New Roman" w:hAnsi="Times New Roman" w:cs="Times New Roman"/>
          <w:b/>
          <w:bCs/>
          <w:sz w:val="18"/>
          <w:szCs w:val="18"/>
          <w:u w:val="single"/>
          <w:lang w:val="fr-FR"/>
        </w:rPr>
        <w:t>-</w:t>
      </w:r>
      <w:r>
        <w:rPr>
          <w:rFonts w:hint="default" w:ascii="Times New Roman" w:hAnsi="Times New Roman" w:cs="Times New Roman"/>
          <w:b/>
          <w:bCs/>
          <w:sz w:val="18"/>
          <w:szCs w:val="18"/>
          <w:u w:val="single"/>
        </w:rPr>
        <w:t>POUR LES PERSONNES PHYSIQUES</w:t>
      </w:r>
    </w:p>
    <w:p w14:paraId="05D847C7">
      <w:pPr>
        <w:rPr>
          <w:rFonts w:hint="default" w:ascii="Times New Roman" w:hAnsi="Times New Roman" w:cs="Times New Roman"/>
          <w:sz w:val="18"/>
          <w:szCs w:val="18"/>
        </w:rPr>
      </w:pPr>
      <w:r>
        <w:rPr>
          <w:rFonts w:hint="default" w:ascii="Times New Roman" w:hAnsi="Times New Roman" w:cs="Times New Roman"/>
          <w:sz w:val="18"/>
          <w:szCs w:val="18"/>
        </w:rPr>
        <w:t>Pour obtenir l’agrément de courtier d’Assurances, le postulant adresse :</w:t>
      </w:r>
    </w:p>
    <w:p w14:paraId="3E260C6A">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 xml:space="preserve">Une (1) demande timbrée au tarif en vigueur au Ministre en charge des Assurances accompagnée des pièces suivantes : </w:t>
      </w:r>
    </w:p>
    <w:p w14:paraId="507215B1">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Une copie certifiée conforme de l’acte de naissance datant de moins de six (06) mois ;</w:t>
      </w:r>
    </w:p>
    <w:p w14:paraId="2F00E084">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Une copie certifiée conforme du diplôme figurant dans la liste susmentionnée ;</w:t>
      </w:r>
    </w:p>
    <w:p w14:paraId="5558DB7B">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 xml:space="preserve">Une attestation de présentation de l’original du diplôme, </w:t>
      </w:r>
    </w:p>
    <w:p w14:paraId="2FF68430">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Un livret ou une attestation de stage professionnel ;</w:t>
      </w:r>
    </w:p>
    <w:p w14:paraId="05C0AEA5">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Une attestation de fonction le cas échéant ;</w:t>
      </w:r>
    </w:p>
    <w:p w14:paraId="1DD8C61F">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Un certificat de nationalité ;</w:t>
      </w:r>
    </w:p>
    <w:p w14:paraId="04381802">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Deux (02) photos 4*4 ;</w:t>
      </w:r>
    </w:p>
    <w:p w14:paraId="371FAC41">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 xml:space="preserve">Un extrait de casier judiciaire bulletin N°3 datant de moins  de trois (03) mois ; </w:t>
      </w:r>
    </w:p>
    <w:p w14:paraId="5A309A97">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Un curriculum vitae daté et signé ;</w:t>
      </w:r>
    </w:p>
    <w:p w14:paraId="7AEB4788">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Un certificat de non faillite ;</w:t>
      </w:r>
    </w:p>
    <w:p w14:paraId="5F11F83D">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Une fiche de déclaration (modèle CIMA), signée par le procureur de la République près du Tribunal de Première Instance, des personnes qui seront habilitées à présenter des opérations d’assurances au public ;</w:t>
      </w:r>
    </w:p>
    <w:p w14:paraId="2409E08B">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Un récépissé d’inscription au registre de commerce ;</w:t>
      </w:r>
    </w:p>
    <w:p w14:paraId="0D7264E6">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L’original de la garantie financière d’un montant au moins égal à la somme de 15 000 000 FCFA et délivrée soit par une banque commerciale, soit par une entreprise d’assurance agréée pour la branche caution ;</w:t>
      </w:r>
    </w:p>
    <w:p w14:paraId="664ADDA9">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 xml:space="preserve">Les comptes prévisionnels détaillés pour les trois (03) premiers exercices ; </w:t>
      </w:r>
    </w:p>
    <w:p w14:paraId="778E2891">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Une assurance de responsabilité civile professionnelle ;</w:t>
      </w:r>
    </w:p>
    <w:p w14:paraId="6F11943C">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Un contrat de bail légalisé par les services des impôts ;</w:t>
      </w:r>
    </w:p>
    <w:p w14:paraId="7B6E0298">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Un plan de localisation légalisé par les services des impôts ;</w:t>
      </w:r>
    </w:p>
    <w:p w14:paraId="5CAC350B">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Pour les étrangers, une carte de résident en plus des pièces ci-dessus ;</w:t>
      </w:r>
    </w:p>
    <w:p w14:paraId="5D433FC4">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Un engagement de bonne conduite pour lutte contre le blanchiment des capitaux et le financement du terrorisme ;</w:t>
      </w:r>
    </w:p>
    <w:p w14:paraId="48D62112">
      <w:pPr>
        <w:pStyle w:val="6"/>
        <w:numPr>
          <w:ilvl w:val="0"/>
          <w:numId w:val="16"/>
        </w:numPr>
        <w:jc w:val="both"/>
        <w:rPr>
          <w:rFonts w:hint="default" w:ascii="Times New Roman" w:hAnsi="Times New Roman" w:cs="Times New Roman"/>
          <w:sz w:val="18"/>
          <w:szCs w:val="18"/>
        </w:rPr>
      </w:pPr>
      <w:r>
        <w:rPr>
          <w:rFonts w:hint="default" w:ascii="Times New Roman" w:hAnsi="Times New Roman" w:cs="Times New Roman"/>
          <w:sz w:val="18"/>
          <w:szCs w:val="18"/>
        </w:rPr>
        <w:t>Tout autre document jugé nécessaire</w:t>
      </w:r>
    </w:p>
    <w:p w14:paraId="41E031C6">
      <w:pPr>
        <w:jc w:val="center"/>
        <w:rPr>
          <w:rFonts w:hint="default" w:ascii="Times New Roman" w:hAnsi="Times New Roman" w:cs="Times New Roman"/>
          <w:b/>
          <w:bCs/>
          <w:sz w:val="18"/>
          <w:szCs w:val="18"/>
          <w:u w:val="single"/>
        </w:rPr>
      </w:pPr>
      <w:r>
        <w:rPr>
          <w:rFonts w:hint="default" w:ascii="Times New Roman" w:hAnsi="Times New Roman" w:cs="Times New Roman"/>
          <w:b/>
          <w:bCs/>
          <w:sz w:val="18"/>
          <w:szCs w:val="18"/>
          <w:u w:val="single"/>
        </w:rPr>
        <w:t>B</w:t>
      </w:r>
      <w:r>
        <w:rPr>
          <w:rFonts w:hint="default" w:ascii="Times New Roman" w:hAnsi="Times New Roman" w:cs="Times New Roman"/>
          <w:b/>
          <w:bCs/>
          <w:sz w:val="18"/>
          <w:szCs w:val="18"/>
          <w:u w:val="single"/>
          <w:lang w:val="fr-FR"/>
        </w:rPr>
        <w:t>-</w:t>
      </w:r>
      <w:r>
        <w:rPr>
          <w:rFonts w:hint="default" w:ascii="Times New Roman" w:hAnsi="Times New Roman" w:cs="Times New Roman"/>
          <w:b/>
          <w:bCs/>
          <w:sz w:val="18"/>
          <w:szCs w:val="18"/>
          <w:u w:val="single"/>
        </w:rPr>
        <w:t xml:space="preserve"> POUR LES PERSONNES MORALES</w:t>
      </w:r>
    </w:p>
    <w:p w14:paraId="0D2A6975">
      <w:pPr>
        <w:rPr>
          <w:rFonts w:hint="default" w:ascii="Times New Roman" w:hAnsi="Times New Roman" w:cs="Times New Roman"/>
          <w:sz w:val="18"/>
          <w:szCs w:val="18"/>
        </w:rPr>
      </w:pPr>
      <w:r>
        <w:rPr>
          <w:rFonts w:hint="default" w:ascii="Times New Roman" w:hAnsi="Times New Roman" w:cs="Times New Roman"/>
          <w:sz w:val="18"/>
          <w:szCs w:val="18"/>
        </w:rPr>
        <w:t xml:space="preserve">En plus des documents listés au A, </w:t>
      </w:r>
    </w:p>
    <w:p w14:paraId="18980F06">
      <w:pPr>
        <w:pStyle w:val="6"/>
        <w:numPr>
          <w:ilvl w:val="0"/>
          <w:numId w:val="17"/>
        </w:numPr>
        <w:rPr>
          <w:rFonts w:hint="default" w:ascii="Times New Roman" w:hAnsi="Times New Roman" w:cs="Times New Roman"/>
          <w:sz w:val="18"/>
          <w:szCs w:val="18"/>
        </w:rPr>
      </w:pPr>
      <w:r>
        <w:rPr>
          <w:rFonts w:hint="default" w:ascii="Times New Roman" w:hAnsi="Times New Roman" w:cs="Times New Roman"/>
          <w:sz w:val="18"/>
          <w:szCs w:val="18"/>
        </w:rPr>
        <w:t>Le promoteur de la société de courtage adresse une (01) demande timbrée au tarif en vigueur au ministre en charge du secteur des assurances accompagnée des pièces suivantes :</w:t>
      </w:r>
      <w:r>
        <w:rPr>
          <w:rFonts w:hint="default" w:ascii="Times New Roman" w:hAnsi="Times New Roman" w:cs="Times New Roman"/>
          <w:sz w:val="18"/>
          <w:szCs w:val="18"/>
        </w:rPr>
        <w:br w:type="textWrapping"/>
      </w:r>
      <w:r>
        <w:rPr>
          <w:rFonts w:hint="default" w:ascii="Times New Roman" w:hAnsi="Times New Roman" w:cs="Times New Roman"/>
          <w:sz w:val="18"/>
          <w:szCs w:val="18"/>
        </w:rPr>
        <w:t>Les statuts authentifiés de la société ;</w:t>
      </w:r>
    </w:p>
    <w:p w14:paraId="1932099F">
      <w:pPr>
        <w:pStyle w:val="6"/>
        <w:numPr>
          <w:ilvl w:val="0"/>
          <w:numId w:val="17"/>
        </w:numPr>
        <w:rPr>
          <w:rFonts w:hint="default" w:ascii="Times New Roman" w:hAnsi="Times New Roman" w:cs="Times New Roman"/>
          <w:sz w:val="18"/>
          <w:szCs w:val="18"/>
        </w:rPr>
      </w:pPr>
      <w:r>
        <w:rPr>
          <w:rFonts w:hint="default" w:ascii="Times New Roman" w:hAnsi="Times New Roman" w:cs="Times New Roman"/>
          <w:sz w:val="18"/>
          <w:szCs w:val="18"/>
        </w:rPr>
        <w:t>Le certificat notarié indiquant le montant du capital social libéré ;</w:t>
      </w:r>
    </w:p>
    <w:p w14:paraId="55A86013">
      <w:pPr>
        <w:pStyle w:val="6"/>
        <w:numPr>
          <w:ilvl w:val="0"/>
          <w:numId w:val="17"/>
        </w:numPr>
        <w:rPr>
          <w:rFonts w:hint="default" w:ascii="Times New Roman" w:hAnsi="Times New Roman" w:cs="Times New Roman"/>
          <w:sz w:val="18"/>
          <w:szCs w:val="18"/>
        </w:rPr>
      </w:pPr>
      <w:r>
        <w:rPr>
          <w:rFonts w:hint="default" w:ascii="Times New Roman" w:hAnsi="Times New Roman" w:cs="Times New Roman"/>
          <w:sz w:val="18"/>
          <w:szCs w:val="18"/>
        </w:rPr>
        <w:t>La liste des actionnaires ou porteurs de parts avec indication de leur nationalité et montant de leur participation ;</w:t>
      </w:r>
    </w:p>
    <w:p w14:paraId="7F8C6A8C">
      <w:pPr>
        <w:pStyle w:val="6"/>
        <w:numPr>
          <w:ilvl w:val="0"/>
          <w:numId w:val="17"/>
        </w:numPr>
        <w:rPr>
          <w:rFonts w:hint="default" w:ascii="Times New Roman" w:hAnsi="Times New Roman" w:cs="Times New Roman"/>
          <w:sz w:val="18"/>
          <w:szCs w:val="18"/>
        </w:rPr>
      </w:pPr>
      <w:r>
        <w:rPr>
          <w:rFonts w:hint="default" w:ascii="Times New Roman" w:hAnsi="Times New Roman" w:cs="Times New Roman"/>
          <w:sz w:val="18"/>
          <w:szCs w:val="18"/>
        </w:rPr>
        <w:t>La liste, selon la forme de la société, des administrateurs directeurs généraux et gérants avec indication de leur nationalité ;</w:t>
      </w:r>
    </w:p>
    <w:p w14:paraId="3189459A">
      <w:pPr>
        <w:pStyle w:val="6"/>
        <w:numPr>
          <w:ilvl w:val="0"/>
          <w:numId w:val="17"/>
        </w:numPr>
        <w:rPr>
          <w:rFonts w:hint="default" w:ascii="Times New Roman" w:hAnsi="Times New Roman" w:cs="Times New Roman"/>
          <w:sz w:val="18"/>
          <w:szCs w:val="18"/>
        </w:rPr>
      </w:pPr>
      <w:r>
        <w:rPr>
          <w:rFonts w:hint="default" w:ascii="Times New Roman" w:hAnsi="Times New Roman" w:cs="Times New Roman"/>
          <w:sz w:val="18"/>
          <w:szCs w:val="18"/>
        </w:rPr>
        <w:t>Pour les présidents, directeurs généraux ou représentants légaux de la société, les pièces mentionnées aux alinéas 2) à 11) ci-dessous ;</w:t>
      </w:r>
    </w:p>
    <w:p w14:paraId="4A591FFE">
      <w:pPr>
        <w:pStyle w:val="6"/>
        <w:numPr>
          <w:ilvl w:val="0"/>
          <w:numId w:val="17"/>
        </w:numPr>
        <w:rPr>
          <w:rFonts w:hint="default" w:ascii="Times New Roman" w:hAnsi="Times New Roman" w:cs="Times New Roman"/>
          <w:sz w:val="18"/>
          <w:szCs w:val="18"/>
        </w:rPr>
      </w:pPr>
      <w:r>
        <w:rPr>
          <w:rFonts w:hint="default" w:ascii="Times New Roman" w:hAnsi="Times New Roman" w:cs="Times New Roman"/>
          <w:sz w:val="18"/>
          <w:szCs w:val="18"/>
        </w:rPr>
        <w:t>L’extrait du relevé bancaire attestant la disponibilité des fonds ;</w:t>
      </w:r>
    </w:p>
    <w:p w14:paraId="664E0720">
      <w:pPr>
        <w:pStyle w:val="6"/>
        <w:numPr>
          <w:ilvl w:val="0"/>
          <w:numId w:val="17"/>
        </w:numPr>
        <w:rPr>
          <w:rFonts w:hint="default" w:ascii="Times New Roman" w:hAnsi="Times New Roman" w:cs="Times New Roman"/>
          <w:sz w:val="18"/>
          <w:szCs w:val="18"/>
        </w:rPr>
      </w:pPr>
      <w:r>
        <w:rPr>
          <w:rFonts w:hint="default" w:ascii="Times New Roman" w:hAnsi="Times New Roman" w:cs="Times New Roman"/>
          <w:sz w:val="18"/>
          <w:szCs w:val="18"/>
        </w:rPr>
        <w:t>Les documents mentionnés aux alinéas 13 à 18) du point Iia ci-dessus ;</w:t>
      </w:r>
    </w:p>
    <w:p w14:paraId="112E33CA">
      <w:pPr>
        <w:pStyle w:val="6"/>
        <w:numPr>
          <w:ilvl w:val="0"/>
          <w:numId w:val="17"/>
        </w:numPr>
        <w:rPr>
          <w:rFonts w:hint="default" w:ascii="Times New Roman" w:hAnsi="Times New Roman" w:cs="Times New Roman"/>
          <w:sz w:val="18"/>
          <w:szCs w:val="18"/>
        </w:rPr>
      </w:pPr>
      <w:r>
        <w:rPr>
          <w:rFonts w:hint="default" w:ascii="Times New Roman" w:hAnsi="Times New Roman" w:cs="Times New Roman"/>
          <w:sz w:val="18"/>
          <w:szCs w:val="18"/>
        </w:rPr>
        <w:t>Un engagement de bonne conduite pour la lutte contre le blanchiment des capitaux et le financement du terrorisme ;</w:t>
      </w:r>
    </w:p>
    <w:p w14:paraId="059DE6B6">
      <w:pPr>
        <w:pStyle w:val="6"/>
        <w:numPr>
          <w:ilvl w:val="0"/>
          <w:numId w:val="17"/>
        </w:numPr>
        <w:rPr>
          <w:rFonts w:hint="default" w:ascii="Times New Roman" w:hAnsi="Times New Roman" w:cs="Times New Roman"/>
          <w:sz w:val="18"/>
          <w:szCs w:val="18"/>
        </w:rPr>
      </w:pPr>
      <w:r>
        <w:rPr>
          <w:rFonts w:hint="default" w:ascii="Times New Roman" w:hAnsi="Times New Roman" w:cs="Times New Roman"/>
          <w:sz w:val="18"/>
          <w:szCs w:val="18"/>
        </w:rPr>
        <w:t>Tout autre document jugé nécessaire.</w:t>
      </w:r>
    </w:p>
    <w:p w14:paraId="48D030E4">
      <w:pPr>
        <w:rPr>
          <w:rFonts w:hint="default" w:ascii="Times New Roman" w:hAnsi="Times New Roman" w:cs="Times New Roman"/>
          <w:sz w:val="18"/>
          <w:szCs w:val="18"/>
        </w:rPr>
      </w:pPr>
    </w:p>
    <w:p w14:paraId="290D4C9C">
      <w:pPr>
        <w:jc w:val="center"/>
        <w:rPr>
          <w:rFonts w:hint="default" w:ascii="Times New Roman" w:hAnsi="Times New Roman" w:cs="Times New Roman"/>
          <w:b/>
          <w:bCs/>
          <w:sz w:val="18"/>
          <w:szCs w:val="18"/>
          <w:u w:val="single"/>
        </w:rPr>
      </w:pPr>
      <w:r>
        <w:rPr>
          <w:rFonts w:hint="default" w:ascii="Times New Roman" w:hAnsi="Times New Roman" w:cs="Times New Roman"/>
          <w:b/>
          <w:bCs/>
          <w:sz w:val="18"/>
          <w:szCs w:val="18"/>
          <w:u w:val="single"/>
        </w:rPr>
        <w:t>II-PROFIL DU DIRIGEANT</w:t>
      </w:r>
    </w:p>
    <w:p w14:paraId="2681B07B">
      <w:pPr>
        <w:numPr>
          <w:ilvl w:val="0"/>
          <w:numId w:val="18"/>
        </w:numPr>
        <w:ind w:left="420" w:leftChars="0" w:hanging="420" w:firstLineChars="0"/>
        <w:rPr>
          <w:rFonts w:hint="default" w:ascii="Times New Roman" w:hAnsi="Times New Roman" w:cs="Times New Roman"/>
          <w:sz w:val="18"/>
          <w:szCs w:val="18"/>
          <w:lang w:val="fr-FR"/>
        </w:rPr>
      </w:pPr>
      <w:r>
        <w:rPr>
          <w:rFonts w:hint="default" w:ascii="Times New Roman" w:hAnsi="Times New Roman" w:cs="Times New Roman"/>
          <w:sz w:val="18"/>
          <w:szCs w:val="18"/>
          <w:lang w:val="fr-FR"/>
        </w:rPr>
        <w:t xml:space="preserve">Avoir la majorité légale dans l’Etat de présentation de l’opération, </w:t>
      </w:r>
    </w:p>
    <w:p w14:paraId="25AE68E4">
      <w:pPr>
        <w:numPr>
          <w:ilvl w:val="0"/>
          <w:numId w:val="18"/>
        </w:numPr>
        <w:ind w:left="420" w:leftChars="0" w:hanging="420" w:firstLineChars="0"/>
        <w:rPr>
          <w:rFonts w:hint="default" w:ascii="Times New Roman" w:hAnsi="Times New Roman" w:cs="Times New Roman"/>
          <w:sz w:val="18"/>
          <w:szCs w:val="18"/>
          <w:lang w:val="fr-FR"/>
        </w:rPr>
      </w:pPr>
      <w:r>
        <w:rPr>
          <w:rFonts w:hint="default" w:ascii="Times New Roman" w:hAnsi="Times New Roman" w:cs="Times New Roman"/>
          <w:sz w:val="18"/>
          <w:szCs w:val="18"/>
          <w:lang w:val="fr-FR"/>
        </w:rPr>
        <w:t>Être ressortissant d’un Etat membre de la CIMA;</w:t>
      </w:r>
    </w:p>
    <w:p w14:paraId="3A49C8C7">
      <w:pPr>
        <w:numPr>
          <w:ilvl w:val="0"/>
          <w:numId w:val="18"/>
        </w:numPr>
        <w:ind w:left="420" w:leftChars="0" w:hanging="420" w:firstLineChars="0"/>
        <w:rPr>
          <w:rFonts w:hint="default" w:ascii="Times New Roman" w:hAnsi="Times New Roman" w:cs="Times New Roman"/>
          <w:sz w:val="18"/>
          <w:szCs w:val="18"/>
          <w:lang w:val="fr-FR"/>
        </w:rPr>
      </w:pPr>
      <w:r>
        <w:rPr>
          <w:rFonts w:hint="default" w:ascii="Times New Roman" w:hAnsi="Times New Roman" w:cs="Times New Roman"/>
          <w:sz w:val="18"/>
          <w:szCs w:val="18"/>
          <w:lang w:val="fr-FR"/>
        </w:rPr>
        <w:t>Remplir les conditions de capacité professionnelle prévues à l’article 508 du code CIMA;</w:t>
      </w:r>
    </w:p>
    <w:p w14:paraId="5301B6A9">
      <w:pPr>
        <w:numPr>
          <w:ilvl w:val="0"/>
          <w:numId w:val="18"/>
        </w:numPr>
        <w:ind w:left="420" w:leftChars="0" w:hanging="420" w:firstLineChars="0"/>
        <w:rPr>
          <w:rFonts w:hint="default" w:ascii="Times New Roman" w:hAnsi="Times New Roman" w:cs="Times New Roman"/>
          <w:sz w:val="18"/>
          <w:szCs w:val="18"/>
          <w:lang w:val="fr-FR"/>
        </w:rPr>
      </w:pPr>
      <w:r>
        <w:rPr>
          <w:rFonts w:hint="default" w:ascii="Times New Roman" w:hAnsi="Times New Roman" w:cs="Times New Roman"/>
          <w:sz w:val="18"/>
          <w:szCs w:val="18"/>
          <w:lang w:val="fr-FR"/>
        </w:rPr>
        <w:t>Remplir les conditions d’honorabilité;</w:t>
      </w:r>
    </w:p>
    <w:p w14:paraId="782378A7">
      <w:pPr>
        <w:numPr>
          <w:ilvl w:val="0"/>
          <w:numId w:val="19"/>
        </w:numPr>
        <w:ind w:left="420" w:leftChars="0" w:hanging="420" w:firstLineChars="0"/>
        <w:rPr>
          <w:rFonts w:hint="default" w:ascii="Times New Roman" w:hAnsi="Times New Roman" w:cs="Times New Roman"/>
          <w:sz w:val="18"/>
          <w:szCs w:val="18"/>
          <w:lang w:val="fr-FR"/>
        </w:rPr>
      </w:pPr>
      <w:r>
        <w:rPr>
          <w:rFonts w:hint="default" w:ascii="Times New Roman" w:hAnsi="Times New Roman" w:cs="Times New Roman"/>
          <w:sz w:val="18"/>
          <w:szCs w:val="18"/>
          <w:lang w:val="fr-FR"/>
        </w:rPr>
        <w:t xml:space="preserve">Soit posséder un diplôme mentionné sur la liste fixée par la commission de contrôle après avis des instances professionnelles représentatives des compagnies d’assurances ainsi que de l’accomplissement d’un stage professionnel dans un organisme d’assurance; </w:t>
      </w:r>
    </w:p>
    <w:p w14:paraId="35808906">
      <w:pPr>
        <w:numPr>
          <w:ilvl w:val="0"/>
          <w:numId w:val="19"/>
        </w:numPr>
        <w:ind w:left="420" w:leftChars="0" w:hanging="420" w:firstLineChars="0"/>
        <w:rPr>
          <w:rFonts w:hint="default" w:ascii="Times New Roman" w:hAnsi="Times New Roman" w:cs="Times New Roman"/>
          <w:sz w:val="18"/>
          <w:szCs w:val="18"/>
          <w:lang w:val="fr-FR"/>
        </w:rPr>
      </w:pPr>
      <w:r>
        <w:rPr>
          <w:rFonts w:hint="default" w:ascii="Times New Roman" w:hAnsi="Times New Roman" w:cs="Times New Roman"/>
          <w:sz w:val="18"/>
          <w:szCs w:val="18"/>
          <w:lang w:val="fr-FR"/>
        </w:rPr>
        <w:t xml:space="preserve">Soit avoir exercé à temps complet pendant deux (02) ans au moins dans les services intérieurs ou extérieurs ,d’une entreprise d’assurance, d’un courtier ou d’une société de courtage d’assurance des fonctions relatives , à la production ou à l’application  des contrats d’assurance  ainsi que de l’accomplissement d’un stage professionnel d’au moins six (06) mois; </w:t>
      </w:r>
    </w:p>
    <w:p w14:paraId="53C684D7">
      <w:pPr>
        <w:numPr>
          <w:ilvl w:val="0"/>
          <w:numId w:val="19"/>
        </w:numPr>
        <w:ind w:left="420" w:leftChars="0" w:hanging="420" w:firstLineChars="0"/>
        <w:rPr>
          <w:rFonts w:hint="default" w:ascii="Times New Roman" w:hAnsi="Times New Roman" w:cs="Times New Roman"/>
          <w:sz w:val="18"/>
          <w:szCs w:val="18"/>
          <w:lang w:val="fr-FR"/>
        </w:rPr>
      </w:pPr>
      <w:r>
        <w:rPr>
          <w:rFonts w:hint="default" w:ascii="Times New Roman" w:hAnsi="Times New Roman" w:cs="Times New Roman"/>
          <w:sz w:val="18"/>
          <w:szCs w:val="18"/>
          <w:lang w:val="fr-FR"/>
        </w:rPr>
        <w:t>Soit de l’exercice à temps complet pendant un an au moins d’une activité en qualité de cadre ou dirigeant dans ces mêmes entreprises;</w:t>
      </w:r>
    </w:p>
    <w:p w14:paraId="3A689867">
      <w:pPr>
        <w:numPr>
          <w:ilvl w:val="0"/>
          <w:numId w:val="19"/>
        </w:numPr>
        <w:ind w:left="420" w:leftChars="0" w:hanging="420" w:firstLineChars="0"/>
        <w:rPr>
          <w:rFonts w:hint="default" w:ascii="Times New Roman" w:hAnsi="Times New Roman" w:cs="Times New Roman"/>
          <w:sz w:val="18"/>
          <w:szCs w:val="18"/>
          <w:lang w:val="fr-FR"/>
        </w:rPr>
      </w:pPr>
      <w:r>
        <w:rPr>
          <w:rFonts w:hint="default" w:ascii="Times New Roman" w:hAnsi="Times New Roman" w:cs="Times New Roman"/>
          <w:sz w:val="18"/>
          <w:szCs w:val="18"/>
          <w:lang w:val="fr-FR"/>
        </w:rPr>
        <w:t xml:space="preserve">Soit dans l’exercice, pendant deux ans au moins en qualité de cadre ou de chef d’entreprise, de fonctions de responsabilité dans une entreprise industrielle ou commerciale, ainsi que l’accomplissement d’un stage professionnel; </w:t>
      </w:r>
    </w:p>
    <w:p w14:paraId="369016AC">
      <w:pPr>
        <w:numPr>
          <w:ilvl w:val="0"/>
          <w:numId w:val="19"/>
        </w:numPr>
        <w:ind w:left="420" w:leftChars="0" w:hanging="420" w:firstLineChars="0"/>
        <w:rPr>
          <w:rFonts w:hint="default" w:ascii="Times New Roman" w:hAnsi="Times New Roman" w:cs="Times New Roman"/>
          <w:sz w:val="18"/>
          <w:szCs w:val="18"/>
          <w:lang w:val="fr-FR"/>
        </w:rPr>
      </w:pPr>
      <w:r>
        <w:rPr>
          <w:rFonts w:hint="default" w:ascii="Times New Roman" w:hAnsi="Times New Roman" w:cs="Times New Roman"/>
          <w:sz w:val="18"/>
          <w:szCs w:val="18"/>
          <w:lang w:val="fr-FR"/>
        </w:rPr>
        <w:t>Soit avoir exercé pendant deux (02) ans des fonctions de responsabilité en tant que cadre dans une administration de contrôle des assurances.</w:t>
      </w:r>
    </w:p>
    <w:p w14:paraId="46DE3EB5">
      <w:pPr>
        <w:jc w:val="center"/>
        <w:rPr>
          <w:rFonts w:hint="default" w:ascii="Times New Roman" w:hAnsi="Times New Roman" w:cs="Times New Roman"/>
          <w:b/>
          <w:bCs/>
          <w:sz w:val="18"/>
          <w:szCs w:val="18"/>
          <w:u w:val="single"/>
          <w:lang w:val="fr-FR"/>
        </w:rPr>
      </w:pPr>
      <w:r>
        <w:rPr>
          <w:rFonts w:hint="default" w:ascii="Times New Roman" w:hAnsi="Times New Roman" w:cs="Times New Roman"/>
          <w:b/>
          <w:bCs/>
          <w:sz w:val="18"/>
          <w:szCs w:val="18"/>
          <w:u w:val="single"/>
          <w:lang w:val="fr-FR"/>
        </w:rPr>
        <w:t>III- TRAITEMENT DU DOSSIER</w:t>
      </w:r>
    </w:p>
    <w:p w14:paraId="3B92AAFC">
      <w:pPr>
        <w:numPr>
          <w:ilvl w:val="0"/>
          <w:numId w:val="20"/>
        </w:numPr>
        <w:ind w:left="425" w:leftChars="0" w:hanging="425" w:firstLineChars="0"/>
        <w:jc w:val="left"/>
        <w:rPr>
          <w:rFonts w:hint="default" w:ascii="Times New Roman" w:hAnsi="Times New Roman" w:cs="Times New Roman"/>
          <w:b w:val="0"/>
          <w:bCs w:val="0"/>
          <w:sz w:val="18"/>
          <w:szCs w:val="18"/>
          <w:u w:val="none"/>
          <w:lang w:val="fr-FR"/>
        </w:rPr>
      </w:pPr>
      <w:r>
        <w:rPr>
          <w:rFonts w:hint="default" w:ascii="Times New Roman" w:hAnsi="Times New Roman" w:cs="Times New Roman"/>
          <w:b w:val="0"/>
          <w:bCs w:val="0"/>
          <w:sz w:val="18"/>
          <w:szCs w:val="18"/>
          <w:u w:val="none"/>
          <w:lang w:val="fr-FR"/>
        </w:rPr>
        <w:t>Dépôt du dossier d’agrément auprès du Ministre en charge du secteur des Assurances ou dans le service Régional territorialement compétent;</w:t>
      </w:r>
    </w:p>
    <w:p w14:paraId="76BE1C94">
      <w:pPr>
        <w:numPr>
          <w:ilvl w:val="0"/>
          <w:numId w:val="20"/>
        </w:numPr>
        <w:ind w:left="425" w:leftChars="0" w:hanging="425" w:firstLineChars="0"/>
        <w:jc w:val="left"/>
        <w:rPr>
          <w:rFonts w:hint="default" w:ascii="Times New Roman" w:hAnsi="Times New Roman" w:cs="Times New Roman"/>
          <w:b w:val="0"/>
          <w:bCs w:val="0"/>
          <w:sz w:val="18"/>
          <w:szCs w:val="18"/>
          <w:u w:val="none"/>
          <w:lang w:val="fr-FR"/>
        </w:rPr>
      </w:pPr>
      <w:r>
        <w:rPr>
          <w:rFonts w:hint="default" w:ascii="Times New Roman" w:hAnsi="Times New Roman" w:cs="Times New Roman"/>
          <w:b w:val="0"/>
          <w:bCs w:val="0"/>
          <w:sz w:val="18"/>
          <w:szCs w:val="18"/>
          <w:u w:val="none"/>
          <w:lang w:val="fr-FR"/>
        </w:rPr>
        <w:t xml:space="preserve">Délivrance d’un accusé de réception; </w:t>
      </w:r>
    </w:p>
    <w:p w14:paraId="0D58095D">
      <w:pPr>
        <w:numPr>
          <w:ilvl w:val="0"/>
          <w:numId w:val="20"/>
        </w:numPr>
        <w:ind w:left="425" w:leftChars="0" w:hanging="425" w:firstLineChars="0"/>
        <w:jc w:val="left"/>
        <w:rPr>
          <w:rFonts w:hint="default" w:ascii="Times New Roman" w:hAnsi="Times New Roman" w:cs="Times New Roman"/>
          <w:b w:val="0"/>
          <w:bCs w:val="0"/>
          <w:sz w:val="18"/>
          <w:szCs w:val="18"/>
          <w:u w:val="none"/>
          <w:lang w:val="fr-FR"/>
        </w:rPr>
      </w:pPr>
      <w:r>
        <w:rPr>
          <w:rFonts w:hint="default" w:ascii="Times New Roman" w:hAnsi="Times New Roman" w:cs="Times New Roman"/>
          <w:b w:val="0"/>
          <w:bCs w:val="0"/>
          <w:sz w:val="18"/>
          <w:szCs w:val="18"/>
          <w:u w:val="none"/>
          <w:lang w:val="fr-FR"/>
        </w:rPr>
        <w:t xml:space="preserve">Etude du dossier en commission par les services techniques; </w:t>
      </w:r>
    </w:p>
    <w:p w14:paraId="1A235870">
      <w:pPr>
        <w:numPr>
          <w:ilvl w:val="0"/>
          <w:numId w:val="20"/>
        </w:numPr>
        <w:ind w:left="425" w:leftChars="0" w:hanging="425" w:firstLineChars="0"/>
        <w:jc w:val="left"/>
        <w:rPr>
          <w:rFonts w:hint="default" w:ascii="Times New Roman" w:hAnsi="Times New Roman" w:cs="Times New Roman"/>
          <w:b w:val="0"/>
          <w:bCs w:val="0"/>
          <w:sz w:val="18"/>
          <w:szCs w:val="18"/>
          <w:u w:val="none"/>
          <w:lang w:val="fr-FR"/>
        </w:rPr>
      </w:pPr>
      <w:r>
        <w:rPr>
          <w:rFonts w:hint="default" w:ascii="Times New Roman" w:hAnsi="Times New Roman" w:cs="Times New Roman"/>
          <w:b w:val="0"/>
          <w:bCs w:val="0"/>
          <w:sz w:val="18"/>
          <w:szCs w:val="18"/>
          <w:u w:val="none"/>
          <w:lang w:val="fr-FR"/>
        </w:rPr>
        <w:t>En cas d’étude concluante, délivrance d’un arrêté portant agrément de l’intermédiaire par le Ministre en charge du secteur des Assurances.</w:t>
      </w:r>
    </w:p>
    <w:p w14:paraId="4078C641">
      <w:pPr>
        <w:jc w:val="left"/>
        <w:rPr>
          <w:rFonts w:hint="default" w:ascii="Times New Roman" w:hAnsi="Times New Roman" w:cs="Times New Roman"/>
          <w:b w:val="0"/>
          <w:bCs w:val="0"/>
          <w:sz w:val="18"/>
          <w:szCs w:val="18"/>
          <w:u w:val="none"/>
          <w:lang w:val="fr-FR"/>
        </w:rPr>
      </w:pPr>
      <w:r>
        <w:rPr>
          <w:rFonts w:hint="default" w:ascii="Times New Roman" w:hAnsi="Times New Roman" w:cs="Times New Roman"/>
          <w:b w:val="0"/>
          <w:bCs w:val="0"/>
          <w:sz w:val="18"/>
          <w:szCs w:val="18"/>
          <w:u w:val="none"/>
          <w:lang w:val="fr-FR"/>
        </w:rPr>
        <w:t>En cas d’étude non concluante; rejet du dossier motivé du dossier de demande d’agrément par le Ministre en charge du secteur des Assurances.</w:t>
      </w:r>
    </w:p>
    <w:p w14:paraId="6C3F0DCE">
      <w:pPr>
        <w:jc w:val="left"/>
        <w:rPr>
          <w:rFonts w:hint="default" w:ascii="Times New Roman" w:hAnsi="Times New Roman" w:cs="Times New Roman"/>
          <w:b/>
          <w:bCs/>
          <w:sz w:val="18"/>
          <w:szCs w:val="18"/>
          <w:u w:val="none"/>
          <w:lang w:val="fr-FR"/>
        </w:rPr>
      </w:pPr>
      <w:r>
        <w:rPr>
          <w:rFonts w:hint="default" w:ascii="Times New Roman" w:hAnsi="Times New Roman" w:cs="Times New Roman"/>
          <w:b/>
          <w:bCs/>
          <w:sz w:val="18"/>
          <w:szCs w:val="18"/>
          <w:u w:val="none"/>
          <w:lang w:val="fr-FR"/>
        </w:rPr>
        <w:t>Références: CODE CIMA ; OHADA et  TRAITE CIMA</w:t>
      </w:r>
    </w:p>
    <w:p w14:paraId="2DF21316">
      <w:pPr>
        <w:jc w:val="left"/>
        <w:rPr>
          <w:rFonts w:cstheme="minorHAnsi"/>
        </w:rPr>
      </w:pPr>
    </w:p>
    <w:sectPr>
      <w:pgSz w:w="11900" w:h="16840"/>
      <w:pgMar w:top="1417" w:right="1417" w:bottom="1417" w:left="1417"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D7F51D"/>
    <w:multiLevelType w:val="singleLevel"/>
    <w:tmpl w:val="B1D7F51D"/>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C50BD2BF"/>
    <w:multiLevelType w:val="singleLevel"/>
    <w:tmpl w:val="C50BD2BF"/>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2">
    <w:nsid w:val="C9269759"/>
    <w:multiLevelType w:val="singleLevel"/>
    <w:tmpl w:val="C9269759"/>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3">
    <w:nsid w:val="D54B0419"/>
    <w:multiLevelType w:val="singleLevel"/>
    <w:tmpl w:val="D54B0419"/>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4">
    <w:nsid w:val="DE034EF7"/>
    <w:multiLevelType w:val="singleLevel"/>
    <w:tmpl w:val="DE034EF7"/>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5">
    <w:nsid w:val="FF6E1279"/>
    <w:multiLevelType w:val="singleLevel"/>
    <w:tmpl w:val="FF6E1279"/>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6">
    <w:nsid w:val="171C327E"/>
    <w:multiLevelType w:val="multilevel"/>
    <w:tmpl w:val="171C327E"/>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24413E36"/>
    <w:multiLevelType w:val="singleLevel"/>
    <w:tmpl w:val="24413E36"/>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8">
    <w:nsid w:val="2A6D5FF2"/>
    <w:multiLevelType w:val="multilevel"/>
    <w:tmpl w:val="2A6D5FF2"/>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
    <w:nsid w:val="33CB57A2"/>
    <w:multiLevelType w:val="singleLevel"/>
    <w:tmpl w:val="33CB57A2"/>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0">
    <w:nsid w:val="37754427"/>
    <w:multiLevelType w:val="multilevel"/>
    <w:tmpl w:val="37754427"/>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
    <w:nsid w:val="381C4AAF"/>
    <w:multiLevelType w:val="multilevel"/>
    <w:tmpl w:val="381C4AA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
    <w:nsid w:val="4E75F5A7"/>
    <w:multiLevelType w:val="singleLevel"/>
    <w:tmpl w:val="4E75F5A7"/>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3">
    <w:nsid w:val="4E954387"/>
    <w:multiLevelType w:val="singleLevel"/>
    <w:tmpl w:val="4E954387"/>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4">
    <w:nsid w:val="510776B1"/>
    <w:multiLevelType w:val="singleLevel"/>
    <w:tmpl w:val="510776B1"/>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5">
    <w:nsid w:val="5E1F7424"/>
    <w:multiLevelType w:val="singleLevel"/>
    <w:tmpl w:val="5E1F7424"/>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6">
    <w:nsid w:val="5F074AD2"/>
    <w:multiLevelType w:val="singleLevel"/>
    <w:tmpl w:val="5F074AD2"/>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7">
    <w:nsid w:val="736B166E"/>
    <w:multiLevelType w:val="multilevel"/>
    <w:tmpl w:val="736B166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
    <w:nsid w:val="75063D1A"/>
    <w:multiLevelType w:val="multilevel"/>
    <w:tmpl w:val="75063D1A"/>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9">
    <w:nsid w:val="76D41E2A"/>
    <w:multiLevelType w:val="singleLevel"/>
    <w:tmpl w:val="76D41E2A"/>
    <w:lvl w:ilvl="0" w:tentative="0">
      <w:start w:val="1"/>
      <w:numFmt w:val="decimal"/>
      <w:lvlText w:val="%1."/>
      <w:lvlJc w:val="left"/>
      <w:pPr>
        <w:tabs>
          <w:tab w:val="left" w:pos="425"/>
        </w:tabs>
        <w:ind w:left="425" w:leftChars="0" w:hanging="425" w:firstLineChars="0"/>
      </w:pPr>
      <w:rPr>
        <w:rFonts w:hint="default"/>
      </w:rPr>
    </w:lvl>
  </w:abstractNum>
  <w:num w:numId="1">
    <w:abstractNumId w:val="6"/>
  </w:num>
  <w:num w:numId="2">
    <w:abstractNumId w:val="18"/>
  </w:num>
  <w:num w:numId="3">
    <w:abstractNumId w:val="8"/>
  </w:num>
  <w:num w:numId="4">
    <w:abstractNumId w:val="10"/>
  </w:num>
  <w:num w:numId="5">
    <w:abstractNumId w:val="16"/>
  </w:num>
  <w:num w:numId="6">
    <w:abstractNumId w:val="4"/>
  </w:num>
  <w:num w:numId="7">
    <w:abstractNumId w:val="13"/>
  </w:num>
  <w:num w:numId="8">
    <w:abstractNumId w:val="9"/>
  </w:num>
  <w:num w:numId="9">
    <w:abstractNumId w:val="1"/>
  </w:num>
  <w:num w:numId="10">
    <w:abstractNumId w:val="7"/>
  </w:num>
  <w:num w:numId="11">
    <w:abstractNumId w:val="15"/>
  </w:num>
  <w:num w:numId="12">
    <w:abstractNumId w:val="2"/>
  </w:num>
  <w:num w:numId="13">
    <w:abstractNumId w:val="3"/>
  </w:num>
  <w:num w:numId="14">
    <w:abstractNumId w:val="12"/>
  </w:num>
  <w:num w:numId="15">
    <w:abstractNumId w:val="14"/>
  </w:num>
  <w:num w:numId="16">
    <w:abstractNumId w:val="17"/>
  </w:num>
  <w:num w:numId="17">
    <w:abstractNumId w:val="11"/>
  </w:num>
  <w:num w:numId="18">
    <w:abstractNumId w:val="5"/>
  </w:num>
  <w:num w:numId="19">
    <w:abstractNumId w:val="0"/>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cumentProtection w:enforcement="0"/>
  <w:defaultTabStop w:val="708"/>
  <w:hyphenationZone w:val="425"/>
  <w:drawingGridHorizontalSpacing w:val="120"/>
  <w:displayHorizontalDrawingGridEvery w:val="2"/>
  <w:displayVerticalDrawingGridEvery w:val="2"/>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EA2"/>
    <w:rsid w:val="000445D8"/>
    <w:rsid w:val="00063830"/>
    <w:rsid w:val="00076CAF"/>
    <w:rsid w:val="000F5FE2"/>
    <w:rsid w:val="00123374"/>
    <w:rsid w:val="00185D63"/>
    <w:rsid w:val="001A69A5"/>
    <w:rsid w:val="00221312"/>
    <w:rsid w:val="00230ABB"/>
    <w:rsid w:val="002C4569"/>
    <w:rsid w:val="002F32D4"/>
    <w:rsid w:val="0031262A"/>
    <w:rsid w:val="0033611F"/>
    <w:rsid w:val="00372526"/>
    <w:rsid w:val="0038257A"/>
    <w:rsid w:val="003A73CF"/>
    <w:rsid w:val="003C1497"/>
    <w:rsid w:val="00413D4E"/>
    <w:rsid w:val="004C7EF4"/>
    <w:rsid w:val="005C0E23"/>
    <w:rsid w:val="00672F36"/>
    <w:rsid w:val="00674D27"/>
    <w:rsid w:val="00680756"/>
    <w:rsid w:val="00734A38"/>
    <w:rsid w:val="0074715F"/>
    <w:rsid w:val="007A3535"/>
    <w:rsid w:val="007F331E"/>
    <w:rsid w:val="00825399"/>
    <w:rsid w:val="00871A3B"/>
    <w:rsid w:val="008730A6"/>
    <w:rsid w:val="0088227C"/>
    <w:rsid w:val="008E7554"/>
    <w:rsid w:val="009469A6"/>
    <w:rsid w:val="00966A8C"/>
    <w:rsid w:val="00A569C8"/>
    <w:rsid w:val="00A62F91"/>
    <w:rsid w:val="00AE6F93"/>
    <w:rsid w:val="00BA19D8"/>
    <w:rsid w:val="00C243E4"/>
    <w:rsid w:val="00C3223D"/>
    <w:rsid w:val="00C54E0B"/>
    <w:rsid w:val="00CF121C"/>
    <w:rsid w:val="00D26BF2"/>
    <w:rsid w:val="00D41BBB"/>
    <w:rsid w:val="00D56138"/>
    <w:rsid w:val="00D865DB"/>
    <w:rsid w:val="00DA106D"/>
    <w:rsid w:val="00DC74EB"/>
    <w:rsid w:val="00DD133B"/>
    <w:rsid w:val="00E25638"/>
    <w:rsid w:val="00E31588"/>
    <w:rsid w:val="00E32B83"/>
    <w:rsid w:val="00E45755"/>
    <w:rsid w:val="00E9074B"/>
    <w:rsid w:val="00E961CD"/>
    <w:rsid w:val="00F518AE"/>
    <w:rsid w:val="00F93915"/>
    <w:rsid w:val="00FC2EA2"/>
    <w:rsid w:val="113E5344"/>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Balloon Text"/>
    <w:lsdException w:qFormat="1" w:unhideWhenUsed="0" w:uiPriority="39" w:semiHidden="0" w:name="Table Grid"/>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fr-FR" w:eastAsia="en-US" w:bidi="ar-SA"/>
    </w:rPr>
  </w:style>
  <w:style w:type="character" w:default="1" w:styleId="2">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semiHidden/>
    <w:unhideWhenUsed/>
    <w:uiPriority w:val="99"/>
    <w:pPr>
      <w:tabs>
        <w:tab w:val="center" w:pos="4153"/>
        <w:tab w:val="right" w:pos="8306"/>
      </w:tabs>
      <w:snapToGrid w:val="0"/>
      <w:jc w:val="left"/>
    </w:pPr>
    <w:rPr>
      <w:sz w:val="18"/>
      <w:szCs w:val="18"/>
    </w:rPr>
  </w:style>
  <w:style w:type="paragraph" w:styleId="4">
    <w:name w:val="header"/>
    <w:basedOn w:val="1"/>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left="720"/>
      <w:contextualSpacing/>
    </w:pPr>
  </w:style>
  <w:style w:type="table" w:styleId="7">
    <w:name w:val="Table Grid"/>
    <w:basedOn w:val="5"/>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1091</Words>
  <Characters>6001</Characters>
  <Lines>50</Lines>
  <Paragraphs>14</Paragraphs>
  <TotalTime>37</TotalTime>
  <ScaleCrop>false</ScaleCrop>
  <LinksUpToDate>false</LinksUpToDate>
  <CharactersWithSpaces>7078</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2026-03-10T11:20:00Z</dcterms:created>
  <dc:creator>HP</dc:creator>
  <cp:lastModifiedBy>HP</cp:lastModifiedBy>
  <dcterms:modified xsi:type="dcterms:W3CDTF">2026-03-16T13:35:51Z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1036-12.2.0.23196</vt:lpwstr>
  </property>
  <property fmtid="{D5CDD505-2E9C-101B-9397-08002B2CF9AE}" pid="3" name="ICV">
    <vt:lpwstr>7B09F826DAF143EDA4CA75C655125C22_12</vt:lpwstr>
  </property>
</Properties>
</file>